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C6" w:rsidRPr="001921AE" w:rsidRDefault="005D55C6" w:rsidP="005D55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55C6" w:rsidRDefault="005D55C6" w:rsidP="005D55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D55C6" w:rsidRPr="00A00DAB" w:rsidRDefault="0062657E" w:rsidP="0062657E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</w:t>
      </w:r>
      <w:r w:rsidR="005D55C6" w:rsidRPr="00A00DAB">
        <w:rPr>
          <w:rFonts w:ascii="Arial" w:hAnsi="Arial" w:cs="Arial"/>
          <w:i w:val="0"/>
          <w:sz w:val="22"/>
          <w:szCs w:val="22"/>
        </w:rPr>
        <w:t xml:space="preserve">TA DE REGISTRO DE PREÇOS Nº </w:t>
      </w:r>
      <w:r>
        <w:rPr>
          <w:rFonts w:ascii="Arial" w:hAnsi="Arial" w:cs="Arial"/>
          <w:i w:val="0"/>
          <w:sz w:val="22"/>
          <w:szCs w:val="22"/>
        </w:rPr>
        <w:t>13</w:t>
      </w:r>
      <w:r w:rsidR="005D55C6" w:rsidRPr="00A00DAB">
        <w:rPr>
          <w:rFonts w:ascii="Arial" w:hAnsi="Arial" w:cs="Arial"/>
          <w:i w:val="0"/>
          <w:sz w:val="22"/>
          <w:szCs w:val="22"/>
        </w:rPr>
        <w:t>/</w:t>
      </w:r>
      <w:r w:rsidR="005D55C6">
        <w:rPr>
          <w:rFonts w:ascii="Arial" w:hAnsi="Arial" w:cs="Arial"/>
          <w:i w:val="0"/>
          <w:sz w:val="22"/>
          <w:szCs w:val="22"/>
        </w:rPr>
        <w:t>2024</w:t>
      </w:r>
    </w:p>
    <w:p w:rsidR="005D55C6" w:rsidRPr="00A00DAB" w:rsidRDefault="005D55C6" w:rsidP="005D55C6">
      <w:pPr>
        <w:rPr>
          <w:sz w:val="22"/>
          <w:szCs w:val="22"/>
        </w:rPr>
      </w:pPr>
    </w:p>
    <w:p w:rsidR="0062657E" w:rsidRDefault="0062657E" w:rsidP="005D55C6">
      <w:pPr>
        <w:jc w:val="both"/>
        <w:rPr>
          <w:rFonts w:ascii="Arial" w:hAnsi="Arial" w:cs="Arial"/>
          <w:b/>
          <w:sz w:val="22"/>
          <w:szCs w:val="22"/>
        </w:rPr>
      </w:pPr>
    </w:p>
    <w:p w:rsidR="005D55C6" w:rsidRDefault="005D55C6" w:rsidP="005D55C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05/2024</w:t>
      </w:r>
    </w:p>
    <w:p w:rsidR="005D55C6" w:rsidRDefault="005D55C6" w:rsidP="005D55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28/2024</w:t>
      </w:r>
    </w:p>
    <w:p w:rsidR="005D55C6" w:rsidRPr="00A00DAB" w:rsidRDefault="005D55C6" w:rsidP="005D55C6">
      <w:pPr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62657E" w:rsidRPr="0062657E">
        <w:rPr>
          <w:rFonts w:ascii="Arial" w:hAnsi="Arial" w:cs="Arial"/>
          <w:sz w:val="22"/>
          <w:szCs w:val="22"/>
        </w:rPr>
        <w:t>SUPERMERCADO DO PORTUGUES 1 LTDA</w:t>
      </w:r>
    </w:p>
    <w:p w:rsidR="005D55C6" w:rsidRPr="00A00DAB" w:rsidRDefault="005D55C6" w:rsidP="005D55C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D55C6" w:rsidRPr="00F555CF" w:rsidRDefault="0062657E" w:rsidP="005D5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6 (seis ) </w:t>
      </w:r>
      <w:r w:rsidR="005D55C6"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março</w:t>
      </w:r>
      <w:r w:rsidR="005D55C6" w:rsidRPr="00A00DAB">
        <w:rPr>
          <w:rFonts w:ascii="Arial" w:hAnsi="Arial" w:cs="Arial"/>
          <w:sz w:val="22"/>
          <w:szCs w:val="22"/>
        </w:rPr>
        <w:t xml:space="preserve"> do ano de </w:t>
      </w:r>
      <w:r w:rsidR="005D55C6">
        <w:rPr>
          <w:rFonts w:ascii="Arial" w:hAnsi="Arial" w:cs="Arial"/>
          <w:sz w:val="22"/>
          <w:szCs w:val="22"/>
        </w:rPr>
        <w:t>2024 (dois mil e vinte e quatro</w:t>
      </w:r>
      <w:r w:rsidR="005D55C6" w:rsidRPr="00A00DAB">
        <w:rPr>
          <w:rFonts w:ascii="Arial" w:hAnsi="Arial" w:cs="Arial"/>
          <w:sz w:val="22"/>
          <w:szCs w:val="22"/>
        </w:rPr>
        <w:t xml:space="preserve">), nesta cidade de </w:t>
      </w:r>
      <w:r w:rsidR="005D55C6">
        <w:rPr>
          <w:rFonts w:ascii="Arial" w:hAnsi="Arial" w:cs="Arial"/>
          <w:sz w:val="22"/>
          <w:szCs w:val="22"/>
        </w:rPr>
        <w:t>Ipuiuna</w:t>
      </w:r>
      <w:r w:rsidR="005D55C6"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="005D55C6"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="005D55C6"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="005D55C6"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="005D55C6"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="005D55C6"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5D55C6" w:rsidRPr="00A00DAB">
        <w:rPr>
          <w:rFonts w:ascii="Arial" w:hAnsi="Arial" w:cs="Arial"/>
          <w:sz w:val="22"/>
          <w:szCs w:val="22"/>
        </w:rPr>
        <w:t xml:space="preserve"> doravante denominada </w:t>
      </w:r>
      <w:r w:rsidR="005D55C6"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5D55C6" w:rsidRPr="00A00DAB">
        <w:rPr>
          <w:rFonts w:ascii="Arial" w:hAnsi="Arial" w:cs="Arial"/>
          <w:sz w:val="22"/>
          <w:szCs w:val="22"/>
        </w:rPr>
        <w:t>e, de outro lado, a empresa</w:t>
      </w:r>
      <w:r w:rsidR="005D55C6"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657E">
        <w:rPr>
          <w:rFonts w:ascii="Arial" w:hAnsi="Arial" w:cs="Arial"/>
          <w:b/>
          <w:bCs/>
          <w:sz w:val="22"/>
          <w:szCs w:val="22"/>
        </w:rPr>
        <w:t>SUPERMERCADO DO PORTUGUES 1 LTDA</w:t>
      </w:r>
      <w:r w:rsidR="005D55C6"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Pr="0062657E">
        <w:rPr>
          <w:rFonts w:ascii="Arial" w:hAnsi="Arial" w:cs="Arial"/>
          <w:sz w:val="22"/>
          <w:szCs w:val="22"/>
        </w:rPr>
        <w:t>Rua Prefeito João Batista Filho, nº 130, Centro, no Município de Ipuiuna, Estado de Minas Gerais</w:t>
      </w:r>
      <w:r w:rsidR="005D55C6" w:rsidRPr="00A00DAB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Pr="0062657E">
        <w:rPr>
          <w:rFonts w:ascii="Arial" w:hAnsi="Arial" w:cs="Arial"/>
          <w:sz w:val="22"/>
          <w:szCs w:val="22"/>
        </w:rPr>
        <w:t>19.247.519/0001-05</w:t>
      </w:r>
      <w:r w:rsidR="005D55C6" w:rsidRPr="00A00DAB">
        <w:rPr>
          <w:rFonts w:ascii="Arial" w:hAnsi="Arial" w:cs="Arial"/>
          <w:sz w:val="22"/>
          <w:szCs w:val="22"/>
        </w:rPr>
        <w:t xml:space="preserve">, com Inscrição Estadual registrada sob </w:t>
      </w:r>
      <w:r w:rsidRPr="0062657E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</w:t>
      </w:r>
      <w:r w:rsidRPr="0062657E">
        <w:rPr>
          <w:rFonts w:ascii="Arial" w:hAnsi="Arial" w:cs="Arial"/>
          <w:sz w:val="22"/>
          <w:szCs w:val="22"/>
        </w:rPr>
        <w:t>315412162.00-03</w:t>
      </w:r>
      <w:r w:rsidR="005D55C6"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5D55C6" w:rsidRPr="00A00DAB">
        <w:rPr>
          <w:rFonts w:ascii="Arial" w:hAnsi="Arial" w:cs="Arial"/>
          <w:b/>
          <w:sz w:val="22"/>
          <w:szCs w:val="22"/>
        </w:rPr>
        <w:t xml:space="preserve">Sr. </w:t>
      </w:r>
      <w:r w:rsidRPr="0062657E">
        <w:rPr>
          <w:rFonts w:ascii="Arial" w:hAnsi="Arial" w:cs="Arial"/>
          <w:b/>
          <w:sz w:val="22"/>
          <w:szCs w:val="22"/>
        </w:rPr>
        <w:t xml:space="preserve">Antônio de Oliveira Figueiredo, </w:t>
      </w:r>
      <w:r w:rsidRPr="0062657E">
        <w:rPr>
          <w:rFonts w:ascii="Arial" w:hAnsi="Arial" w:cs="Arial"/>
          <w:sz w:val="22"/>
          <w:szCs w:val="22"/>
        </w:rPr>
        <w:t>brasileiro, casado, empresário</w:t>
      </w:r>
      <w:r>
        <w:rPr>
          <w:rFonts w:ascii="Arial" w:hAnsi="Arial" w:cs="Arial"/>
          <w:sz w:val="22"/>
          <w:szCs w:val="22"/>
        </w:rPr>
        <w:t>,</w:t>
      </w:r>
      <w:r w:rsidRPr="0062657E">
        <w:rPr>
          <w:rFonts w:ascii="Arial" w:hAnsi="Arial" w:cs="Arial"/>
          <w:sz w:val="22"/>
          <w:szCs w:val="22"/>
        </w:rPr>
        <w:t xml:space="preserve"> </w:t>
      </w:r>
      <w:r w:rsidR="005D55C6" w:rsidRPr="00A00DAB">
        <w:rPr>
          <w:rFonts w:ascii="Arial" w:hAnsi="Arial" w:cs="Arial"/>
          <w:sz w:val="22"/>
          <w:szCs w:val="22"/>
        </w:rPr>
        <w:t xml:space="preserve">portador da Cédula de Identidade RG nº </w:t>
      </w:r>
      <w:r w:rsidRPr="0062657E">
        <w:rPr>
          <w:rFonts w:ascii="Arial" w:hAnsi="Arial" w:cs="Arial"/>
          <w:sz w:val="22"/>
          <w:szCs w:val="22"/>
        </w:rPr>
        <w:t>MG-1.208.626</w:t>
      </w:r>
      <w:r w:rsidR="005D55C6" w:rsidRPr="00A00DAB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 w:rsidRPr="0062657E">
        <w:rPr>
          <w:rFonts w:ascii="Arial" w:hAnsi="Arial" w:cs="Arial"/>
          <w:sz w:val="22"/>
          <w:szCs w:val="22"/>
        </w:rPr>
        <w:t>324.476.046-53</w:t>
      </w:r>
      <w:r w:rsidR="005D55C6" w:rsidRPr="00A00DAB">
        <w:rPr>
          <w:rFonts w:ascii="Arial" w:hAnsi="Arial" w:cs="Arial"/>
          <w:sz w:val="22"/>
          <w:szCs w:val="22"/>
        </w:rPr>
        <w:t xml:space="preserve">, doravante denominada </w:t>
      </w:r>
      <w:r w:rsidR="005D55C6">
        <w:rPr>
          <w:rFonts w:ascii="Arial" w:hAnsi="Arial" w:cs="Arial"/>
          <w:b/>
          <w:bCs/>
          <w:sz w:val="22"/>
          <w:szCs w:val="22"/>
        </w:rPr>
        <w:t>DETENTORA,</w:t>
      </w:r>
      <w:r w:rsidR="005D55C6" w:rsidRPr="00A00DAB">
        <w:rPr>
          <w:rFonts w:ascii="Arial" w:hAnsi="Arial" w:cs="Arial"/>
          <w:sz w:val="22"/>
          <w:szCs w:val="22"/>
        </w:rPr>
        <w:t xml:space="preserve"> firmam a presente </w:t>
      </w:r>
      <w:r w:rsidR="005D55C6"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 w:rsidR="005D55C6">
        <w:rPr>
          <w:rFonts w:ascii="Arial" w:hAnsi="Arial" w:cs="Arial"/>
          <w:b/>
          <w:bCs/>
          <w:sz w:val="22"/>
          <w:szCs w:val="22"/>
        </w:rPr>
        <w:t xml:space="preserve">, </w:t>
      </w:r>
      <w:r w:rsidR="005D55C6" w:rsidRPr="00A00DAB">
        <w:rPr>
          <w:rFonts w:ascii="Arial" w:hAnsi="Arial" w:cs="Arial"/>
          <w:sz w:val="22"/>
          <w:szCs w:val="22"/>
        </w:rPr>
        <w:t xml:space="preserve">que se </w:t>
      </w:r>
      <w:r w:rsidR="005D55C6" w:rsidRPr="00F555CF">
        <w:rPr>
          <w:rFonts w:ascii="Arial" w:hAnsi="Arial" w:cs="Arial"/>
          <w:sz w:val="22"/>
          <w:szCs w:val="22"/>
        </w:rPr>
        <w:t xml:space="preserve">regerá pela Lei Federal nº 14.133/2021, observado o Decreto Municipal nº 07/2006, que regulamentou o </w:t>
      </w:r>
      <w:r w:rsidR="005D55C6"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5D55C6" w:rsidRPr="00F555CF">
        <w:rPr>
          <w:rFonts w:ascii="Arial" w:hAnsi="Arial" w:cs="Arial"/>
          <w:sz w:val="22"/>
          <w:szCs w:val="22"/>
        </w:rPr>
        <w:t xml:space="preserve">no Município de Ipuiuna/MG e Decreto Municipal nº 09/2023, bem como o Edital referido, a proposta da </w:t>
      </w:r>
      <w:r w:rsidR="005D55C6"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="005D55C6" w:rsidRPr="00F555CF">
        <w:rPr>
          <w:rFonts w:ascii="Arial" w:hAnsi="Arial" w:cs="Arial"/>
          <w:sz w:val="22"/>
          <w:szCs w:val="22"/>
        </w:rPr>
        <w:t>e as cláusulas seguintes: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– PNAE, DOS ALUNOS DA REDE MUNICIPAL DE ENSINO DE IPUIUNA/MG.</w:t>
      </w:r>
    </w:p>
    <w:p w:rsidR="005D55C6" w:rsidRPr="00A00DAB" w:rsidRDefault="005D55C6" w:rsidP="005D55C6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D55C6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5D55C6" w:rsidRPr="00A00DAB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D55C6" w:rsidRPr="000310E1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5D55C6" w:rsidRPr="00A00DAB" w:rsidRDefault="005D55C6" w:rsidP="005D55C6">
      <w:pPr>
        <w:rPr>
          <w:sz w:val="22"/>
          <w:szCs w:val="22"/>
        </w:rPr>
      </w:pPr>
    </w:p>
    <w:p w:rsidR="005D55C6" w:rsidRDefault="005D55C6" w:rsidP="005D55C6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5D55C6" w:rsidRPr="004975C0" w:rsidRDefault="005D55C6" w:rsidP="005D55C6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5D55C6" w:rsidRPr="00341B83" w:rsidTr="00BA29D8">
        <w:trPr>
          <w:jc w:val="center"/>
        </w:trPr>
        <w:tc>
          <w:tcPr>
            <w:tcW w:w="1937" w:type="dxa"/>
            <w:vAlign w:val="center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D55C6" w:rsidRPr="00341B83" w:rsidTr="00BA29D8">
        <w:trPr>
          <w:jc w:val="center"/>
        </w:trPr>
        <w:tc>
          <w:tcPr>
            <w:tcW w:w="1937" w:type="dxa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5D55C6" w:rsidRPr="00341B83" w:rsidRDefault="005D55C6" w:rsidP="00BA29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D55C6" w:rsidRDefault="005D55C6" w:rsidP="005D55C6"/>
    <w:p w:rsidR="005D55C6" w:rsidRPr="00742B1E" w:rsidRDefault="005D55C6" w:rsidP="005D55C6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D55C6" w:rsidRPr="00A00DAB" w:rsidRDefault="005D55C6" w:rsidP="005D55C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D55C6" w:rsidRPr="00A00DAB" w:rsidRDefault="005D55C6" w:rsidP="005D55C6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>
        <w:rPr>
          <w:rFonts w:ascii="Arial" w:hAnsi="Arial" w:cs="Arial"/>
          <w:sz w:val="22"/>
          <w:szCs w:val="22"/>
        </w:rPr>
        <w:t xml:space="preserve"> E DA VIGÊNCIA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Pr="00F555CF">
        <w:rPr>
          <w:rFonts w:ascii="Arial" w:hAnsi="Arial" w:cs="Arial"/>
          <w:sz w:val="22"/>
          <w:szCs w:val="22"/>
        </w:rPr>
        <w:t xml:space="preserve">A presente </w:t>
      </w:r>
      <w:r w:rsidRPr="00F555CF">
        <w:rPr>
          <w:rFonts w:ascii="Arial" w:hAnsi="Arial" w:cs="Arial"/>
          <w:b/>
          <w:sz w:val="22"/>
          <w:szCs w:val="22"/>
        </w:rPr>
        <w:t>ATA DE REGISTRO DE PREÇOS</w:t>
      </w:r>
      <w:r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Pr="00F555CF">
        <w:rPr>
          <w:rFonts w:ascii="Arial" w:hAnsi="Arial" w:cs="Arial"/>
          <w:sz w:val="22"/>
          <w:szCs w:val="22"/>
        </w:rPr>
        <w:cr/>
      </w:r>
    </w:p>
    <w:p w:rsidR="005D55C6" w:rsidRPr="00A00DAB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5D55C6" w:rsidRPr="00A00DAB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Pr="00A00DAB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5D55C6" w:rsidRPr="00A00DAB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5D55C6" w:rsidRPr="00A00DAB" w:rsidRDefault="005D55C6" w:rsidP="005D55C6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="00BA29D8">
        <w:rPr>
          <w:rFonts w:ascii="Arial" w:hAnsi="Arial" w:cs="Arial"/>
          <w:b/>
          <w:sz w:val="22"/>
          <w:szCs w:val="22"/>
        </w:rPr>
        <w:t>é de R$ 23.397,50 (vinte e três mil, trezentos e noventa e sete e cinquenta centavos</w:t>
      </w:r>
      <w:r w:rsidRPr="00A00DAB">
        <w:rPr>
          <w:rFonts w:ascii="Arial" w:hAnsi="Arial" w:cs="Arial"/>
          <w:b/>
          <w:sz w:val="22"/>
          <w:szCs w:val="22"/>
        </w:rPr>
        <w:t xml:space="preserve">). </w:t>
      </w:r>
    </w:p>
    <w:p w:rsidR="00BA29D8" w:rsidRDefault="00BA29D8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"/>
        <w:gridCol w:w="878"/>
        <w:gridCol w:w="993"/>
        <w:gridCol w:w="3827"/>
        <w:gridCol w:w="1276"/>
        <w:gridCol w:w="1276"/>
        <w:gridCol w:w="1134"/>
      </w:tblGrid>
      <w:tr w:rsidR="00BA29D8" w:rsidRPr="00C91A57" w:rsidTr="00BA29D8">
        <w:trPr>
          <w:trHeight w:val="391"/>
        </w:trPr>
        <w:tc>
          <w:tcPr>
            <w:tcW w:w="893" w:type="dxa"/>
            <w:shd w:val="clear" w:color="auto" w:fill="ACB9CA" w:themeFill="text2" w:themeFillTint="66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8" w:type="dxa"/>
            <w:shd w:val="clear" w:color="auto" w:fill="ACB9CA" w:themeFill="text2" w:themeFillTint="66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BA29D8" w:rsidRPr="00C91A57" w:rsidRDefault="00BA29D8" w:rsidP="00BA2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BA29D8" w:rsidRPr="00C91A57" w:rsidRDefault="00BA29D8" w:rsidP="00BA2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unitário R$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BA29D8" w:rsidRPr="00C91A57" w:rsidRDefault="00BA29D8" w:rsidP="00BA2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total R$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Amido de milho: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extraído das partes aéreas comestíveis do vegetal, o produto será designado amido seguido do nome de vegetal, "amido de milho".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>, prazo mínimo de validade 01 (um) ano a partir da data da entrega.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R$ 13,00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R$ 2.080,00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Fermento biológico seco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com 125 gr</w:t>
            </w:r>
            <w:r w:rsidRPr="00C91A57">
              <w:rPr>
                <w:rFonts w:ascii="Arial" w:hAnsi="Arial" w:cs="Arial"/>
                <w:sz w:val="20"/>
                <w:szCs w:val="20"/>
              </w:rPr>
              <w:t>. fermento biológico seco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saccharomyces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cerevisiaemeyen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03 (três) meses da data da entrega.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BENTA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R$ 8,50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R$ 425,00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Iogurte natural: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Composto por leite pasteurizado integral e/ou leite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reconstituido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integral e fermentos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lacteos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deverá conter 170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externamente os dados de identificação, procedência, informações nutricionais, número de lote, data de validade, quantidade do produto e atender as exigências do ministério da agricultura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dipoa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ITAMBE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R$ 4,00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R$ 2.400,00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Milho de pipoca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Embalagens de polietileno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livre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pragas e sujidades.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R$ 3,10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R$ 465,00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soja refinado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comestivel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vegetal de soja, puro, refinado, sem colesterol, rico em vitamina e,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pet contendo 900 ml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ABC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R$ 4,90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R$ 5.880,00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Orégano: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constituido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por folhas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especimes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vegetais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genuinos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limpas e secas, aspecto folha ovalada seca, cor verde pardacenta, cheiro e sabor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R$ 4,50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R$450,00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acerola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KIPOLPAS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R$ 14,00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R$ 840,00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morango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KIPOLPAS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R$ 14,00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R$ 3.500,00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uva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KIPOLPAS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R$ 37,00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R$ 3.700,00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Polvilho azedo: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1kg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fecula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mandioca fermenta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amilaceo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acidificado da mandioca.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meses.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1kg. 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TRES IRMAOS 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R$ 9,50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R$ 760,00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Trigo para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kibe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Grãos processados de trigo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triticum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aestivum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l. e/ou outras espécies de gênero 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triticum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 500g</w:t>
            </w:r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prazo mínimo de validade de 01 (um) ano da data da entrega.</w:t>
            </w:r>
          </w:p>
        </w:tc>
        <w:tc>
          <w:tcPr>
            <w:tcW w:w="1276" w:type="dxa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BA29D8" w:rsidRDefault="00BA29D8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R$ 4,00</w:t>
            </w:r>
          </w:p>
        </w:tc>
        <w:tc>
          <w:tcPr>
            <w:tcW w:w="1134" w:type="dxa"/>
            <w:vAlign w:val="bottom"/>
          </w:tcPr>
          <w:p w:rsidR="00BA29D8" w:rsidRDefault="00BA29D8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R$ 400,00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D8" w:rsidRPr="00C91A57" w:rsidRDefault="00BA29D8" w:rsidP="00BA29D8">
            <w:pPr>
              <w:pStyle w:val="Contedode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Vinagre de maçã: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Fermentado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acetico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maça, em garrafa plástica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transprente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resistentes.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750 ml</w:t>
            </w:r>
            <w:r w:rsidRPr="00C91A57">
              <w:rPr>
                <w:rFonts w:ascii="Arial" w:hAnsi="Arial" w:cs="Arial"/>
                <w:sz w:val="20"/>
                <w:szCs w:val="20"/>
              </w:rPr>
              <w:t>, com registro no mapa. prazo mínimo de validade de 01 (um) ano da data da entrega.</w:t>
            </w:r>
          </w:p>
        </w:tc>
        <w:tc>
          <w:tcPr>
            <w:tcW w:w="1276" w:type="dxa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DICASA</w:t>
            </w:r>
          </w:p>
        </w:tc>
        <w:tc>
          <w:tcPr>
            <w:tcW w:w="1276" w:type="dxa"/>
            <w:vAlign w:val="center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R$ 4,80</w:t>
            </w:r>
          </w:p>
        </w:tc>
        <w:tc>
          <w:tcPr>
            <w:tcW w:w="1134" w:type="dxa"/>
            <w:vAlign w:val="bottom"/>
          </w:tcPr>
          <w:p w:rsidR="00BA29D8" w:rsidRDefault="00C56ECC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R$ 1.440,00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Berinjela: Fresca, ter atingido o grau máximo no tamanho, aroma e cor da espécie e variedade, estar livre de enfermidades, insetos e sujidades, não estar danificado por qualquer lesão de origem física ou mecânica que afete a sua aparência. Intacta e limpa.</w:t>
            </w:r>
          </w:p>
        </w:tc>
        <w:tc>
          <w:tcPr>
            <w:tcW w:w="1276" w:type="dxa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FOGO</w:t>
            </w:r>
          </w:p>
        </w:tc>
        <w:tc>
          <w:tcPr>
            <w:tcW w:w="1276" w:type="dxa"/>
            <w:vAlign w:val="center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R$3,50</w:t>
            </w:r>
          </w:p>
        </w:tc>
        <w:tc>
          <w:tcPr>
            <w:tcW w:w="1134" w:type="dxa"/>
            <w:vAlign w:val="bottom"/>
          </w:tcPr>
          <w:p w:rsidR="00BA29D8" w:rsidRDefault="00C56ECC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R$ 105,00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Brócolis: Fresco, de 1ª qualidade sem piolhos, partes estragadas e não deve estar amarelado.</w:t>
            </w:r>
          </w:p>
        </w:tc>
        <w:tc>
          <w:tcPr>
            <w:tcW w:w="1276" w:type="dxa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FOGO</w:t>
            </w:r>
          </w:p>
        </w:tc>
        <w:tc>
          <w:tcPr>
            <w:tcW w:w="1276" w:type="dxa"/>
            <w:vAlign w:val="center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1134" w:type="dxa"/>
            <w:vAlign w:val="bottom"/>
          </w:tcPr>
          <w:p w:rsidR="00BA29D8" w:rsidRDefault="00C56ECC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R$87,50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Couve manteiga picada: </w:t>
            </w:r>
            <w:r w:rsidRPr="00C91A57">
              <w:rPr>
                <w:rFonts w:ascii="Arial" w:hAnsi="Arial" w:cs="Arial"/>
                <w:sz w:val="20"/>
                <w:szCs w:val="20"/>
              </w:rPr>
              <w:t>Folhas de padrão liso e tamanho médio, com coloração verde, sem partes estragadas e amareladas.</w:t>
            </w:r>
          </w:p>
        </w:tc>
        <w:tc>
          <w:tcPr>
            <w:tcW w:w="1276" w:type="dxa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MARCOS ELIEL MELO</w:t>
            </w:r>
          </w:p>
        </w:tc>
        <w:tc>
          <w:tcPr>
            <w:tcW w:w="1276" w:type="dxa"/>
            <w:vAlign w:val="center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R$ 3,00</w:t>
            </w:r>
          </w:p>
        </w:tc>
        <w:tc>
          <w:tcPr>
            <w:tcW w:w="1134" w:type="dxa"/>
            <w:vAlign w:val="bottom"/>
          </w:tcPr>
          <w:p w:rsidR="00BA29D8" w:rsidRDefault="00C56ECC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R$ 690,00</w:t>
            </w:r>
          </w:p>
        </w:tc>
      </w:tr>
      <w:tr w:rsidR="00BA29D8" w:rsidTr="00BA29D8">
        <w:trPr>
          <w:trHeight w:val="65"/>
        </w:trPr>
        <w:tc>
          <w:tcPr>
            <w:tcW w:w="8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78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BA29D8" w:rsidRPr="00C91A57" w:rsidRDefault="00BA29D8" w:rsidP="00BA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9D8" w:rsidRPr="00C91A57" w:rsidRDefault="00BA29D8" w:rsidP="00BA2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Cheiro verde: </w:t>
            </w:r>
            <w:r w:rsidRPr="00C91A57">
              <w:rPr>
                <w:rFonts w:ascii="Arial" w:hAnsi="Arial" w:cs="Arial"/>
                <w:sz w:val="20"/>
                <w:szCs w:val="20"/>
              </w:rPr>
              <w:t>Com folhas lisas, firmes e viçosas, de cor verde brilhante, com coloração e tamanho uniforme, típicos da variedade e livres de resíduos de fertilizantes.</w:t>
            </w:r>
          </w:p>
        </w:tc>
        <w:tc>
          <w:tcPr>
            <w:tcW w:w="1276" w:type="dxa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FOGO</w:t>
            </w:r>
          </w:p>
        </w:tc>
        <w:tc>
          <w:tcPr>
            <w:tcW w:w="1276" w:type="dxa"/>
            <w:vAlign w:val="center"/>
          </w:tcPr>
          <w:p w:rsidR="00BA29D8" w:rsidRDefault="00C56ECC" w:rsidP="00BA2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R$3,50</w:t>
            </w:r>
          </w:p>
        </w:tc>
        <w:tc>
          <w:tcPr>
            <w:tcW w:w="1134" w:type="dxa"/>
            <w:vAlign w:val="bottom"/>
          </w:tcPr>
          <w:p w:rsidR="00BA29D8" w:rsidRDefault="00C56ECC" w:rsidP="00BA29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R$ 175,00</w:t>
            </w:r>
          </w:p>
        </w:tc>
      </w:tr>
    </w:tbl>
    <w:p w:rsidR="00BA29D8" w:rsidRPr="00A00DAB" w:rsidRDefault="00BA29D8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5D55C6" w:rsidRPr="00A00DAB" w:rsidRDefault="005D55C6" w:rsidP="005D55C6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D55C6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, desde que seu pedido esteja acompanhado de documentos que comprovem a variação de preços do mercado, tais como notas fiscais de aquisição dos </w:t>
      </w:r>
      <w:r w:rsidRPr="00A00DAB">
        <w:rPr>
          <w:rFonts w:ascii="Arial" w:hAnsi="Arial" w:cs="Arial"/>
          <w:sz w:val="22"/>
          <w:szCs w:val="22"/>
        </w:rPr>
        <w:lastRenderedPageBreak/>
        <w:t>produtos acabados, matérias primas ou outros documentos julgados necessários a comprovar a variação de preços no mercado.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D55C6" w:rsidRPr="00A00DAB" w:rsidRDefault="005D55C6" w:rsidP="005D55C6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D55C6" w:rsidRPr="00A00DAB" w:rsidRDefault="005D55C6" w:rsidP="005D55C6">
      <w:pPr>
        <w:pStyle w:val="Ttulo3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5D55C6" w:rsidRPr="00A00DAB" w:rsidRDefault="005D55C6" w:rsidP="005D55C6">
      <w:pPr>
        <w:jc w:val="both"/>
        <w:rPr>
          <w:rFonts w:ascii="Arial" w:hAnsi="Arial" w:cs="Arial"/>
          <w:iCs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5D55C6" w:rsidRDefault="005D55C6" w:rsidP="005D55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5D55C6" w:rsidRPr="00A00DAB" w:rsidRDefault="005D55C6" w:rsidP="005D55C6">
      <w:pPr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>
        <w:rPr>
          <w:rFonts w:ascii="Arial" w:hAnsi="Arial" w:cs="Arial"/>
          <w:sz w:val="22"/>
          <w:szCs w:val="22"/>
        </w:rPr>
        <w:t>ado, inclusive quanto ao preço.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5D55C6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D55C6" w:rsidRDefault="005D55C6" w:rsidP="005D55C6">
      <w:pPr>
        <w:jc w:val="both"/>
        <w:rPr>
          <w:rFonts w:ascii="Arial" w:hAnsi="Arial" w:cs="Arial"/>
          <w:bCs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5D55C6" w:rsidRPr="00A00DAB" w:rsidRDefault="005D55C6" w:rsidP="005D55C6">
      <w:pPr>
        <w:jc w:val="both"/>
        <w:rPr>
          <w:rFonts w:ascii="Arial" w:hAnsi="Arial" w:cs="Arial"/>
          <w:bCs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5D55C6" w:rsidRPr="00A00DAB" w:rsidRDefault="005D55C6" w:rsidP="005D55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5D55C6" w:rsidRPr="00A00DAB" w:rsidRDefault="005D55C6" w:rsidP="005D55C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5D55C6" w:rsidRPr="00A00DAB" w:rsidRDefault="005D55C6" w:rsidP="005D55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5D55C6" w:rsidRPr="00ED6AD1" w:rsidRDefault="005D55C6" w:rsidP="005D55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5D55C6" w:rsidRPr="00ED6AD1" w:rsidRDefault="005D55C6" w:rsidP="005D55C6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5D55C6" w:rsidRPr="00ED6AD1" w:rsidRDefault="005D55C6" w:rsidP="005D55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5D55C6" w:rsidRPr="00ED6AD1" w:rsidRDefault="005D55C6" w:rsidP="005D55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5D55C6" w:rsidRPr="00ED6AD1" w:rsidRDefault="005D55C6" w:rsidP="005D55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</w:t>
      </w:r>
      <w:proofErr w:type="gramStart"/>
      <w:r w:rsidRPr="00ED6AD1">
        <w:rPr>
          <w:rFonts w:ascii="Arial" w:hAnsi="Arial" w:cs="Arial"/>
          <w:sz w:val="22"/>
          <w:szCs w:val="22"/>
        </w:rPr>
        <w:t>O eventual contrato resultante da presente Ata de Registro de Preços poderão</w:t>
      </w:r>
      <w:proofErr w:type="gramEnd"/>
      <w:r w:rsidRPr="00ED6AD1">
        <w:rPr>
          <w:rFonts w:ascii="Arial" w:hAnsi="Arial" w:cs="Arial"/>
          <w:sz w:val="22"/>
          <w:szCs w:val="22"/>
        </w:rPr>
        <w:t xml:space="preserve"> ser </w:t>
      </w:r>
      <w:r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5D55C6" w:rsidRPr="00ED6AD1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5D55C6" w:rsidRPr="00795A07" w:rsidRDefault="005D55C6" w:rsidP="005D55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sanções: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c. Multa de mora no percentual correspondente a 0,5% (meio por cento) calculada sobre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o valor total estimado do contrato, por dia de inadimplência, até o limite de 02 (dois) dias úteis, na entrega total do objeto deste, caracterizando a inexecução parcial;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5D55C6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Pr="00795A07">
        <w:rPr>
          <w:rFonts w:ascii="Arial" w:hAnsi="Arial" w:cs="Arial"/>
          <w:sz w:val="22"/>
          <w:szCs w:val="22"/>
        </w:rPr>
        <w:t>Administração Municipal.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5C6" w:rsidRPr="00795A07" w:rsidRDefault="005D55C6" w:rsidP="005D5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5D55C6" w:rsidRPr="00795A07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795A07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5D55C6" w:rsidRPr="00ED6AD1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5D55C6" w:rsidRPr="00ED6AD1" w:rsidRDefault="005D55C6" w:rsidP="005D55C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D55C6" w:rsidRPr="00ED6AD1" w:rsidRDefault="005D55C6" w:rsidP="005D55C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lastRenderedPageBreak/>
        <w:t>Ipuiuna/MG</w:t>
      </w:r>
      <w:r w:rsidR="001F1CE3">
        <w:rPr>
          <w:rFonts w:ascii="Arial" w:hAnsi="Arial" w:cs="Arial"/>
          <w:sz w:val="22"/>
          <w:szCs w:val="22"/>
        </w:rPr>
        <w:t>,6</w:t>
      </w:r>
      <w:r w:rsidRPr="00ED6AD1">
        <w:rPr>
          <w:rFonts w:ascii="Arial" w:hAnsi="Arial" w:cs="Arial"/>
          <w:sz w:val="22"/>
          <w:szCs w:val="22"/>
        </w:rPr>
        <w:t xml:space="preserve"> de </w:t>
      </w:r>
      <w:r w:rsidR="001F1CE3">
        <w:rPr>
          <w:rFonts w:ascii="Arial" w:hAnsi="Arial" w:cs="Arial"/>
          <w:sz w:val="22"/>
          <w:szCs w:val="22"/>
        </w:rPr>
        <w:t>março</w:t>
      </w:r>
      <w:r w:rsidRPr="00ED6AD1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4</w:t>
      </w:r>
      <w:r w:rsidRPr="00ED6AD1">
        <w:rPr>
          <w:rFonts w:ascii="Arial" w:hAnsi="Arial" w:cs="Arial"/>
          <w:sz w:val="22"/>
          <w:szCs w:val="22"/>
        </w:rPr>
        <w:t>.</w:t>
      </w:r>
    </w:p>
    <w:p w:rsidR="005D55C6" w:rsidRPr="00ED6AD1" w:rsidRDefault="005D55C6" w:rsidP="005D55C6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D55C6" w:rsidRPr="00ED6AD1" w:rsidRDefault="005D55C6" w:rsidP="005D55C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D55C6" w:rsidRPr="00ED6AD1" w:rsidRDefault="005D55C6" w:rsidP="005D55C6">
      <w:pPr>
        <w:rPr>
          <w:sz w:val="22"/>
          <w:szCs w:val="22"/>
        </w:rPr>
      </w:pPr>
    </w:p>
    <w:p w:rsidR="005D55C6" w:rsidRPr="00ED6AD1" w:rsidRDefault="005D55C6" w:rsidP="005D55C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D55C6" w:rsidRPr="00ED6AD1" w:rsidRDefault="005D55C6" w:rsidP="005D55C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D55C6" w:rsidRPr="00ED6AD1" w:rsidRDefault="005D55C6" w:rsidP="005D55C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D55C6" w:rsidRPr="00ED6AD1" w:rsidRDefault="005D55C6" w:rsidP="005D55C6">
      <w:pPr>
        <w:rPr>
          <w:sz w:val="22"/>
          <w:szCs w:val="22"/>
        </w:rPr>
      </w:pPr>
    </w:p>
    <w:p w:rsidR="005D55C6" w:rsidRPr="00ED6AD1" w:rsidRDefault="005D55C6" w:rsidP="005D55C6">
      <w:pPr>
        <w:rPr>
          <w:sz w:val="22"/>
          <w:szCs w:val="22"/>
        </w:rPr>
      </w:pPr>
    </w:p>
    <w:p w:rsidR="005D55C6" w:rsidRPr="00ED6AD1" w:rsidRDefault="005D55C6" w:rsidP="005D55C6">
      <w:pPr>
        <w:rPr>
          <w:sz w:val="22"/>
          <w:szCs w:val="22"/>
        </w:rPr>
      </w:pPr>
    </w:p>
    <w:p w:rsidR="005D55C6" w:rsidRPr="00ED6AD1" w:rsidRDefault="005D55C6" w:rsidP="005D55C6">
      <w:pPr>
        <w:rPr>
          <w:rFonts w:ascii="Arial" w:eastAsia="Arial Unicode MS" w:hAnsi="Arial" w:cs="Arial"/>
          <w:sz w:val="22"/>
          <w:szCs w:val="22"/>
        </w:rPr>
      </w:pPr>
    </w:p>
    <w:p w:rsidR="001F1CE3" w:rsidRDefault="001F1CE3" w:rsidP="005D55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1CE3">
        <w:rPr>
          <w:rFonts w:ascii="Arial" w:hAnsi="Arial" w:cs="Arial"/>
          <w:b/>
          <w:bCs/>
          <w:sz w:val="22"/>
          <w:szCs w:val="22"/>
        </w:rPr>
        <w:t xml:space="preserve">Antônio de Oliveira Figueiredo </w:t>
      </w:r>
    </w:p>
    <w:p w:rsidR="005D55C6" w:rsidRDefault="005D55C6" w:rsidP="005D55C6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1F1CE3" w:rsidRPr="00ED6AD1" w:rsidRDefault="001F1CE3" w:rsidP="005D55C6">
      <w:pPr>
        <w:jc w:val="center"/>
        <w:rPr>
          <w:rFonts w:ascii="Arial" w:hAnsi="Arial" w:cs="Arial"/>
          <w:bCs/>
          <w:sz w:val="22"/>
          <w:szCs w:val="22"/>
        </w:rPr>
      </w:pPr>
      <w:r w:rsidRPr="00E05B45">
        <w:rPr>
          <w:rFonts w:ascii="Arial" w:hAnsi="Arial" w:cs="Arial"/>
          <w:b/>
          <w:sz w:val="22"/>
          <w:szCs w:val="22"/>
        </w:rPr>
        <w:t>SUPERMERCADO DO PORTUGUES 1 LTDA</w:t>
      </w:r>
    </w:p>
    <w:p w:rsidR="005D55C6" w:rsidRPr="00ED6AD1" w:rsidRDefault="005D55C6" w:rsidP="005D55C6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5D55C6" w:rsidRPr="00A00DAB" w:rsidRDefault="005D55C6" w:rsidP="00F559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5D55C6" w:rsidRPr="00A00DAB" w:rsidRDefault="005D55C6" w:rsidP="005D55C6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F5590F">
        <w:rPr>
          <w:rFonts w:ascii="Arial" w:hAnsi="Arial" w:cs="Arial"/>
          <w:b/>
          <w:sz w:val="22"/>
          <w:szCs w:val="22"/>
        </w:rPr>
        <w:t xml:space="preserve"> 33</w:t>
      </w:r>
      <w:r>
        <w:rPr>
          <w:rFonts w:ascii="Arial" w:hAnsi="Arial" w:cs="Arial"/>
          <w:b/>
          <w:sz w:val="22"/>
          <w:szCs w:val="22"/>
        </w:rPr>
        <w:t>/2024</w:t>
      </w:r>
    </w:p>
    <w:p w:rsidR="005D55C6" w:rsidRPr="00A00DAB" w:rsidRDefault="005D55C6" w:rsidP="005D55C6">
      <w:pPr>
        <w:rPr>
          <w:sz w:val="22"/>
          <w:szCs w:val="22"/>
        </w:rPr>
      </w:pPr>
    </w:p>
    <w:p w:rsidR="005D55C6" w:rsidRDefault="005D55C6" w:rsidP="005D55C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05/2024</w:t>
      </w:r>
    </w:p>
    <w:p w:rsidR="005D55C6" w:rsidRDefault="005D55C6" w:rsidP="005D55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28/2024</w:t>
      </w:r>
    </w:p>
    <w:p w:rsidR="005D55C6" w:rsidRPr="00A00DAB" w:rsidRDefault="005D55C6" w:rsidP="005D55C6">
      <w:pPr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F5590F" w:rsidRDefault="005D55C6" w:rsidP="005D55C6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F5590F" w:rsidRPr="00F5590F">
        <w:rPr>
          <w:rFonts w:ascii="Arial" w:hAnsi="Arial" w:cs="Arial"/>
          <w:sz w:val="22"/>
          <w:szCs w:val="22"/>
        </w:rPr>
        <w:t>SUPERMERCADO DO PORTUGUES 1 LTDA</w:t>
      </w:r>
    </w:p>
    <w:p w:rsidR="005D55C6" w:rsidRPr="00A00DAB" w:rsidRDefault="005D55C6" w:rsidP="005D55C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D55C6" w:rsidRPr="00A00DAB" w:rsidRDefault="00F5590F" w:rsidP="005D5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6 (seis)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="005D55C6"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="005D55C6" w:rsidRPr="00A00DAB">
        <w:rPr>
          <w:rFonts w:ascii="Arial" w:hAnsi="Arial" w:cs="Arial"/>
          <w:sz w:val="22"/>
          <w:szCs w:val="22"/>
        </w:rPr>
        <w:t xml:space="preserve">do ano de </w:t>
      </w:r>
      <w:r w:rsidR="005D55C6">
        <w:rPr>
          <w:rFonts w:ascii="Arial" w:hAnsi="Arial" w:cs="Arial"/>
          <w:sz w:val="22"/>
          <w:szCs w:val="22"/>
        </w:rPr>
        <w:t>2024 (dois mil e vinte e quatro</w:t>
      </w:r>
      <w:r w:rsidR="005D55C6" w:rsidRPr="00A00DAB">
        <w:rPr>
          <w:rFonts w:ascii="Arial" w:hAnsi="Arial" w:cs="Arial"/>
          <w:sz w:val="22"/>
          <w:szCs w:val="22"/>
        </w:rPr>
        <w:t xml:space="preserve">), nesta cidade de </w:t>
      </w:r>
      <w:r w:rsidR="005D55C6">
        <w:rPr>
          <w:rFonts w:ascii="Arial" w:hAnsi="Arial" w:cs="Arial"/>
          <w:sz w:val="22"/>
          <w:szCs w:val="22"/>
        </w:rPr>
        <w:t>Ipuiuna</w:t>
      </w:r>
      <w:r w:rsidR="005D55C6"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="005D55C6"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="005D55C6"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="005D55C6"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="005D55C6"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="005D55C6"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5D55C6">
        <w:rPr>
          <w:rFonts w:ascii="Arial" w:hAnsi="Arial" w:cs="Arial"/>
          <w:sz w:val="22"/>
          <w:szCs w:val="22"/>
        </w:rPr>
        <w:t>,</w:t>
      </w:r>
      <w:r w:rsidR="005D55C6" w:rsidRPr="00A00DAB">
        <w:rPr>
          <w:rFonts w:ascii="Arial" w:hAnsi="Arial" w:cs="Arial"/>
          <w:sz w:val="22"/>
          <w:szCs w:val="22"/>
        </w:rPr>
        <w:t xml:space="preserve"> doravante denominada </w:t>
      </w:r>
      <w:r w:rsidR="005D55C6"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5D55C6" w:rsidRPr="00A00DAB">
        <w:rPr>
          <w:rFonts w:ascii="Arial" w:hAnsi="Arial" w:cs="Arial"/>
          <w:sz w:val="22"/>
          <w:szCs w:val="22"/>
        </w:rPr>
        <w:t>e, de outro lado, a empresa</w:t>
      </w:r>
      <w:r w:rsidRPr="00F5590F">
        <w:t xml:space="preserve"> </w:t>
      </w:r>
      <w:r w:rsidRPr="00F5590F">
        <w:rPr>
          <w:rFonts w:ascii="Arial" w:hAnsi="Arial" w:cs="Arial"/>
          <w:b/>
          <w:sz w:val="22"/>
          <w:szCs w:val="22"/>
        </w:rPr>
        <w:t>SUPERMERCADO DO PORTUGUES 1 LTDA</w:t>
      </w:r>
      <w:r w:rsidR="005D55C6"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Pr="00F5590F">
        <w:rPr>
          <w:rFonts w:ascii="Arial" w:hAnsi="Arial" w:cs="Arial"/>
          <w:sz w:val="22"/>
          <w:szCs w:val="22"/>
        </w:rPr>
        <w:t>Rua Prefeito João Batista Filho, nº 130, Centro, no Município de Ipuiuna, Estado de Minas Gerais</w:t>
      </w:r>
      <w:r w:rsidR="005D55C6" w:rsidRPr="00A00DAB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Pr="00F5590F">
        <w:rPr>
          <w:rFonts w:ascii="Arial" w:hAnsi="Arial" w:cs="Arial"/>
          <w:sz w:val="22"/>
          <w:szCs w:val="22"/>
        </w:rPr>
        <w:t>19.247.519/0001-05</w:t>
      </w:r>
      <w:r w:rsidR="005D55C6" w:rsidRPr="00F5590F">
        <w:rPr>
          <w:rFonts w:ascii="Arial" w:hAnsi="Arial" w:cs="Arial"/>
          <w:sz w:val="22"/>
          <w:szCs w:val="22"/>
        </w:rPr>
        <w:t>,</w:t>
      </w:r>
      <w:r w:rsidR="005D55C6" w:rsidRPr="00A00DAB">
        <w:rPr>
          <w:rFonts w:ascii="Arial" w:hAnsi="Arial" w:cs="Arial"/>
          <w:sz w:val="22"/>
          <w:szCs w:val="22"/>
        </w:rPr>
        <w:t xml:space="preserve"> com Inscrição Estadual registrada sob </w:t>
      </w:r>
      <w:r w:rsidRPr="00F5590F">
        <w:rPr>
          <w:rFonts w:ascii="Arial" w:hAnsi="Arial" w:cs="Arial"/>
          <w:sz w:val="22"/>
          <w:szCs w:val="22"/>
        </w:rPr>
        <w:t>nº315412162.00-03</w:t>
      </w:r>
      <w:r w:rsidR="005D55C6"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5D55C6" w:rsidRPr="00A00DAB">
        <w:rPr>
          <w:rFonts w:ascii="Arial" w:hAnsi="Arial" w:cs="Arial"/>
          <w:b/>
          <w:sz w:val="22"/>
          <w:szCs w:val="22"/>
        </w:rPr>
        <w:t xml:space="preserve">Sr. </w:t>
      </w:r>
      <w:r w:rsidRPr="00F5590F">
        <w:rPr>
          <w:rFonts w:ascii="Arial" w:hAnsi="Arial" w:cs="Arial"/>
          <w:b/>
          <w:sz w:val="22"/>
          <w:szCs w:val="22"/>
        </w:rPr>
        <w:t xml:space="preserve">Antônio de Oliveira Figueiredo, </w:t>
      </w:r>
      <w:r w:rsidRPr="00F5590F">
        <w:rPr>
          <w:rFonts w:ascii="Arial" w:hAnsi="Arial" w:cs="Arial"/>
          <w:sz w:val="22"/>
          <w:szCs w:val="22"/>
        </w:rPr>
        <w:t>brasileiro, casado, empresário</w:t>
      </w:r>
      <w:r w:rsidR="005D55C6" w:rsidRPr="00A00DAB">
        <w:rPr>
          <w:rFonts w:ascii="Arial" w:hAnsi="Arial" w:cs="Arial"/>
          <w:sz w:val="22"/>
          <w:szCs w:val="22"/>
        </w:rPr>
        <w:t xml:space="preserve">, portador da Cédula de Identidade RG nº </w:t>
      </w:r>
      <w:r w:rsidRPr="00F5590F">
        <w:rPr>
          <w:rFonts w:ascii="Arial" w:hAnsi="Arial" w:cs="Arial"/>
          <w:sz w:val="22"/>
          <w:szCs w:val="22"/>
        </w:rPr>
        <w:t>MG-1.208.626</w:t>
      </w:r>
      <w:r w:rsidR="005D55C6" w:rsidRPr="00A00DAB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 w:rsidRPr="00F5590F">
        <w:rPr>
          <w:rFonts w:ascii="Arial" w:hAnsi="Arial" w:cs="Arial"/>
          <w:sz w:val="22"/>
          <w:szCs w:val="22"/>
        </w:rPr>
        <w:t>324.476.046-53</w:t>
      </w:r>
      <w:r w:rsidR="005D55C6" w:rsidRPr="00A00DAB">
        <w:rPr>
          <w:rFonts w:ascii="Arial" w:hAnsi="Arial" w:cs="Arial"/>
          <w:sz w:val="22"/>
          <w:szCs w:val="22"/>
        </w:rPr>
        <w:t xml:space="preserve">, doravante denominada </w:t>
      </w:r>
      <w:r w:rsidR="005D55C6" w:rsidRPr="004975C0">
        <w:rPr>
          <w:rFonts w:ascii="Arial" w:hAnsi="Arial" w:cs="Arial"/>
          <w:b/>
          <w:bCs/>
          <w:sz w:val="22"/>
          <w:szCs w:val="22"/>
        </w:rPr>
        <w:t>CONTRATADA</w:t>
      </w:r>
      <w:r w:rsidR="005D55C6">
        <w:rPr>
          <w:rFonts w:ascii="Arial" w:hAnsi="Arial" w:cs="Arial"/>
          <w:b/>
          <w:bCs/>
          <w:sz w:val="22"/>
          <w:szCs w:val="22"/>
        </w:rPr>
        <w:t>,</w:t>
      </w:r>
      <w:r w:rsidR="005D55C6"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="005D55C6"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5D55C6">
        <w:rPr>
          <w:rFonts w:ascii="Arial" w:hAnsi="Arial" w:cs="Arial"/>
          <w:b/>
          <w:sz w:val="22"/>
          <w:szCs w:val="22"/>
        </w:rPr>
        <w:t xml:space="preserve">Eletrônico </w:t>
      </w:r>
      <w:r w:rsidR="005D55C6"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="005D55C6" w:rsidRPr="00A00DAB">
        <w:rPr>
          <w:rFonts w:ascii="Arial" w:hAnsi="Arial" w:cs="Arial"/>
          <w:sz w:val="22"/>
          <w:szCs w:val="22"/>
        </w:rPr>
        <w:t xml:space="preserve">que se regerá pela </w:t>
      </w:r>
      <w:r w:rsidR="005D55C6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5D55C6">
        <w:rPr>
          <w:rFonts w:ascii="Arial" w:hAnsi="Arial" w:cs="Arial"/>
          <w:sz w:val="22"/>
          <w:szCs w:val="22"/>
        </w:rPr>
        <w:t xml:space="preserve">, </w:t>
      </w:r>
      <w:r w:rsidR="005D55C6"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 w:rsidR="005D55C6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5D55C6" w:rsidRPr="00A00DAB">
        <w:rPr>
          <w:rFonts w:ascii="Arial" w:hAnsi="Arial" w:cs="Arial"/>
          <w:sz w:val="22"/>
          <w:szCs w:val="22"/>
        </w:rPr>
        <w:t>e as cláusulas seguintes:</w:t>
      </w:r>
    </w:p>
    <w:p w:rsidR="005D55C6" w:rsidRPr="00A00DAB" w:rsidRDefault="005D55C6" w:rsidP="005D55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Pr="00A00DAB" w:rsidRDefault="005D55C6" w:rsidP="005D55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5D55C6" w:rsidRPr="00A00DAB" w:rsidRDefault="005D55C6" w:rsidP="005D55C6">
      <w:pPr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– PNAE, DOS ALUNOS DA REDE MUNICIPAL DE ENSINO DE IPUIUNA/MG.</w:t>
      </w:r>
    </w:p>
    <w:p w:rsidR="005D55C6" w:rsidRPr="00A00DAB" w:rsidRDefault="005D55C6" w:rsidP="005D55C6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5D55C6" w:rsidRPr="00A00DAB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5D55C6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5D55C6" w:rsidRPr="00A00DAB" w:rsidRDefault="005D55C6" w:rsidP="005D55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D55C6" w:rsidRPr="00A00DAB" w:rsidRDefault="005D55C6" w:rsidP="005D55C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D55C6" w:rsidRDefault="005D55C6" w:rsidP="005D55C6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5D55C6" w:rsidRDefault="005D55C6" w:rsidP="005D55C6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5D55C6" w:rsidRPr="00341B83" w:rsidTr="00BA29D8">
        <w:tc>
          <w:tcPr>
            <w:tcW w:w="1937" w:type="dxa"/>
            <w:vAlign w:val="center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4584" w:type="dxa"/>
            <w:vAlign w:val="center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D55C6" w:rsidRPr="00341B83" w:rsidTr="00BA29D8">
        <w:tc>
          <w:tcPr>
            <w:tcW w:w="1937" w:type="dxa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5D55C6" w:rsidRPr="00341B83" w:rsidRDefault="005D55C6" w:rsidP="00BA29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5D55C6" w:rsidRPr="00341B83" w:rsidRDefault="005D55C6" w:rsidP="00BA29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D55C6" w:rsidRDefault="005D55C6" w:rsidP="005D55C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D55C6" w:rsidRPr="00742B1E" w:rsidRDefault="005D55C6" w:rsidP="005D55C6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D55C6" w:rsidRPr="00A00DAB" w:rsidRDefault="005D55C6" w:rsidP="005D55C6">
      <w:pPr>
        <w:rPr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7967CF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>
        <w:rPr>
          <w:rFonts w:ascii="Arial" w:hAnsi="Arial" w:cs="Arial"/>
          <w:sz w:val="22"/>
          <w:szCs w:val="22"/>
        </w:rPr>
        <w:t xml:space="preserve"> </w:t>
      </w:r>
      <w:r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5D55C6" w:rsidRDefault="005D55C6" w:rsidP="005D55C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 R</w:t>
      </w:r>
      <w:r w:rsidR="00CB19D3">
        <w:rPr>
          <w:rFonts w:ascii="Arial" w:hAnsi="Arial" w:cs="Arial"/>
          <w:sz w:val="22"/>
          <w:szCs w:val="22"/>
        </w:rPr>
        <w:t>$ 23.397,50 (vinte e três mil, trezentos e noventa e sete e cinquenta centavos)</w:t>
      </w:r>
    </w:p>
    <w:p w:rsidR="00CB19D3" w:rsidRDefault="00CB19D3" w:rsidP="005D55C6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"/>
        <w:gridCol w:w="878"/>
        <w:gridCol w:w="993"/>
        <w:gridCol w:w="3827"/>
        <w:gridCol w:w="1276"/>
        <w:gridCol w:w="1276"/>
        <w:gridCol w:w="1134"/>
      </w:tblGrid>
      <w:tr w:rsidR="00CB19D3" w:rsidRPr="00C91A57" w:rsidTr="00C36E80">
        <w:trPr>
          <w:trHeight w:val="391"/>
        </w:trPr>
        <w:tc>
          <w:tcPr>
            <w:tcW w:w="893" w:type="dxa"/>
            <w:shd w:val="clear" w:color="auto" w:fill="ACB9CA" w:themeFill="text2" w:themeFillTint="66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8" w:type="dxa"/>
            <w:shd w:val="clear" w:color="auto" w:fill="ACB9CA" w:themeFill="text2" w:themeFillTint="66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CB19D3" w:rsidRPr="00C91A57" w:rsidRDefault="00CB19D3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CB19D3" w:rsidRPr="00C91A57" w:rsidRDefault="00CB19D3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unitário R$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CB19D3" w:rsidRPr="00C91A57" w:rsidRDefault="00CB19D3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total R$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Amido de milho: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extraído das partes aéreas comestíveis do vegetal, o produto será designado amido seguido do nome de vegetal, "amido de milho".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>, prazo mínimo de validade 01 (um) ano a partir da data da entrega.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R$ 13,00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R$ 2.080,00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Fermento biológico seco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com 125 gr</w:t>
            </w:r>
            <w:r w:rsidRPr="00C91A57">
              <w:rPr>
                <w:rFonts w:ascii="Arial" w:hAnsi="Arial" w:cs="Arial"/>
                <w:sz w:val="20"/>
                <w:szCs w:val="20"/>
              </w:rPr>
              <w:t>. fermento biológico seco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saccharomyces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cerevisiaemeyen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03 (três) meses da data da entrega.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BENTA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R$ 8,50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R$ 425,00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Iogurte natural: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Composto por leite pasteurizado integral e/ou leite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reconstituido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integral e fermentos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lacteos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deverá conter 170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externamente os dados de identificação, procedência, informações nutricionais, número de lote, data de validade, quantidade do produto e atender as exigências do ministério da agricultura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dipoa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ITAMBE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R$ 4,00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R$ 2.400,00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Milho de pipoca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Embalagens de polietileno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livre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pragas e sujidades.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R$ 3,10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R$ 465,00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soja refinado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comestivel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vegetal de soja, puro, refinado, sem colesterol, rico em vitamina e,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pet contendo 900 ml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ABC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R$ 4,90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R$ 5.880,00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Orégano: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constituido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por folhas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especimes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vegetais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genuinos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limpas e secas, aspecto folha ovalada seca, cor verde pardacenta, cheiro e sabor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R$ 4,50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R$450,00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acerola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KIPOLPAS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R$ 14,00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R$ 840,00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morango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KIPOLPAS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R$ 14,00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R$ 3.500,00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uva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KIPOLPAS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R$ 37,00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R$ 3.700,00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Polvilho azedo: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1kg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fecula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mandioca fermenta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amilaceo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acidificado da mandioca.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meses.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1kg. 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TRES IRMAOS 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R$ 9,50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R$ 760,00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Trigo para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kibe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Grãos processados de trigo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triticum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aestivum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l. e/ou outras espécies de gênero 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triticum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 500g</w:t>
            </w:r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prazo mínimo de validade de 01 (um) ano da data da entrega.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R$ 4,00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R$ 400,00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D3" w:rsidRPr="00C91A57" w:rsidRDefault="00CB19D3" w:rsidP="00C36E80">
            <w:pPr>
              <w:pStyle w:val="Contedode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Vinagre de maçã: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Fermentado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acetico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maça, em garrafa plástica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transprente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resistentes.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750 ml</w:t>
            </w:r>
            <w:r w:rsidRPr="00C91A57">
              <w:rPr>
                <w:rFonts w:ascii="Arial" w:hAnsi="Arial" w:cs="Arial"/>
                <w:sz w:val="20"/>
                <w:szCs w:val="20"/>
              </w:rPr>
              <w:t>, com registro no mapa. prazo mínimo de validade de 01 (um) ano da data da entrega.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DICASA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R$ 4,80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R$ 1.440,00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Berinjela: Fresca, ter atingido o grau máximo no tamanho, aroma e cor da espécie e variedade, estar livre de enfermidades, insetos e sujidades, não estar danificado por qualquer lesão de origem física ou mecânica que afete a sua aparência. Intacta e limpa.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FOGO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R$3,50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R$ 105,00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Brócolis: Fresco, de 1ª qualidade sem piolhos, partes estragadas e não deve estar amarelado.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FOGO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R$87,50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Couve manteiga picada: </w:t>
            </w:r>
            <w:r w:rsidRPr="00C91A57">
              <w:rPr>
                <w:rFonts w:ascii="Arial" w:hAnsi="Arial" w:cs="Arial"/>
                <w:sz w:val="20"/>
                <w:szCs w:val="20"/>
              </w:rPr>
              <w:t>Folhas de padrão liso e tamanho médio, com coloração verde, sem partes estragadas e amareladas.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MARCOS ELIEL MELO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R$ 3,00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R$ 690,00</w:t>
            </w:r>
          </w:p>
        </w:tc>
      </w:tr>
      <w:tr w:rsidR="00CB19D3" w:rsidTr="00C36E80">
        <w:trPr>
          <w:trHeight w:val="65"/>
        </w:trPr>
        <w:tc>
          <w:tcPr>
            <w:tcW w:w="8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78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B19D3" w:rsidRPr="00C91A57" w:rsidRDefault="00CB19D3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D3" w:rsidRPr="00C91A57" w:rsidRDefault="00CB19D3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Cheiro verde: </w:t>
            </w:r>
            <w:r w:rsidRPr="00C91A57">
              <w:rPr>
                <w:rFonts w:ascii="Arial" w:hAnsi="Arial" w:cs="Arial"/>
                <w:sz w:val="20"/>
                <w:szCs w:val="20"/>
              </w:rPr>
              <w:t>Com folhas lisas, firmes e viçosas, de cor verde brilhante, com coloração e tamanho uniforme, típicos da variedade e livres de resíduos de fertilizantes.</w:t>
            </w:r>
          </w:p>
        </w:tc>
        <w:tc>
          <w:tcPr>
            <w:tcW w:w="1276" w:type="dxa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FOGO</w:t>
            </w:r>
          </w:p>
        </w:tc>
        <w:tc>
          <w:tcPr>
            <w:tcW w:w="1276" w:type="dxa"/>
            <w:vAlign w:val="center"/>
          </w:tcPr>
          <w:p w:rsidR="00CB19D3" w:rsidRDefault="00CB19D3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R$3,50</w:t>
            </w:r>
          </w:p>
        </w:tc>
        <w:tc>
          <w:tcPr>
            <w:tcW w:w="1134" w:type="dxa"/>
            <w:vAlign w:val="bottom"/>
          </w:tcPr>
          <w:p w:rsidR="00CB19D3" w:rsidRDefault="00CB19D3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R$ 175,00</w:t>
            </w:r>
          </w:p>
        </w:tc>
      </w:tr>
    </w:tbl>
    <w:p w:rsidR="00CB19D3" w:rsidRPr="00A00DAB" w:rsidRDefault="00CB19D3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5D55C6" w:rsidRPr="00A00DAB" w:rsidRDefault="005D55C6" w:rsidP="005D55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D55C6" w:rsidRPr="00A00DAB" w:rsidRDefault="005D55C6" w:rsidP="005D55C6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D55C6" w:rsidRPr="00A00DAB" w:rsidRDefault="005D55C6" w:rsidP="005D55C6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5D55C6" w:rsidRPr="00A00DAB" w:rsidRDefault="005D55C6" w:rsidP="005D55C6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D55C6" w:rsidRPr="00A00DAB" w:rsidRDefault="005D55C6" w:rsidP="005D55C6">
      <w:pPr>
        <w:jc w:val="both"/>
        <w:rPr>
          <w:rFonts w:ascii="Arial" w:hAnsi="Arial" w:cs="Arial"/>
          <w:bCs/>
          <w:sz w:val="22"/>
          <w:szCs w:val="22"/>
        </w:rPr>
      </w:pPr>
    </w:p>
    <w:p w:rsidR="005D55C6" w:rsidRPr="00A00DAB" w:rsidRDefault="005D55C6" w:rsidP="005D55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5D55C6" w:rsidRPr="00A00DAB" w:rsidRDefault="005D55C6" w:rsidP="005D55C6">
      <w:pPr>
        <w:jc w:val="both"/>
        <w:rPr>
          <w:rFonts w:ascii="Arial" w:hAnsi="Arial" w:cs="Arial"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D55C6" w:rsidRPr="00A00DAB" w:rsidRDefault="005D55C6" w:rsidP="005D55C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5D55C6" w:rsidRPr="00A00DAB" w:rsidRDefault="005D55C6" w:rsidP="005D55C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5D55C6" w:rsidRPr="00A00DAB" w:rsidRDefault="005D55C6" w:rsidP="005D55C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5D55C6" w:rsidRPr="00A00DAB" w:rsidRDefault="005D55C6" w:rsidP="005D55C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D55C6" w:rsidRPr="00A00DAB" w:rsidRDefault="005D55C6" w:rsidP="005D55C6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5D55C6" w:rsidRPr="00A00DAB" w:rsidRDefault="005D55C6" w:rsidP="005D55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10.1 - O descumprimento total ou parcial das obrigações assumidas pela CONTRATADA ou não veracidade das informações prestadas, poderá acarretar, resguardados os preceitos legais pertinentes, sendo-lhe garantida a prévia defesa, nas seguintes sanções:</w:t>
      </w: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 inicial, intermediário ou de substituição/reposição.</w:t>
      </w: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lastRenderedPageBreak/>
        <w:t>b) Multa de até 10% do total do contrato/ordem de compra/serviço para o caso de atraso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 entrega da mercadoria/prestação do serviço/execução da obra, ainda que inicial, intermediário ou de substituição/reposição.</w:t>
      </w: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 imperfeita do objeto.</w:t>
      </w: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 entregar a mercadoria/prestar o serviço/executar a obra, no prazo determinado, ainda que inicial, intermediário ou de substituição/reposição.</w:t>
      </w: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 14.133/21;</w:t>
      </w: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10.2 - As penalidades acima relacionadas não são exaust</w:t>
      </w:r>
      <w:r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 nº 14.133/21, em especial aos artigos 155 a 163.</w:t>
      </w: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Pr="002F0278" w:rsidRDefault="005D55C6" w:rsidP="005D55C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10.3 - As sanções aqui previstas são independentes entre si, podendo ser aplicadas isoladas ou cumulativamente, sem prejuízo de outras medidas cabíveis</w:t>
      </w:r>
    </w:p>
    <w:p w:rsidR="005D55C6" w:rsidRPr="00A00DAB" w:rsidRDefault="005D55C6" w:rsidP="005D55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D55C6" w:rsidRPr="00A00DAB" w:rsidRDefault="005D55C6" w:rsidP="005D55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5D55C6" w:rsidRPr="00A00DAB" w:rsidRDefault="005D55C6" w:rsidP="005D55C6">
      <w:pPr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1</w:t>
      </w:r>
      <w:r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>
        <w:rPr>
          <w:rFonts w:ascii="Arial" w:hAnsi="Arial" w:cs="Arial"/>
          <w:sz w:val="22"/>
          <w:szCs w:val="22"/>
        </w:rPr>
        <w:t xml:space="preserve">ressas na Lei Federal nº 14.133 de 01 de </w:t>
      </w:r>
      <w:proofErr w:type="gramStart"/>
      <w:r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 xml:space="preserve">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>
        <w:rPr>
          <w:rFonts w:ascii="Arial" w:hAnsi="Arial" w:cs="Arial"/>
          <w:sz w:val="22"/>
          <w:szCs w:val="22"/>
        </w:rPr>
        <w:t xml:space="preserve"> para todos os fins de direito.</w:t>
      </w: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D55C6" w:rsidRPr="00A00DAB" w:rsidRDefault="005D55C6" w:rsidP="005D55C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="00CB19D3">
        <w:rPr>
          <w:rFonts w:ascii="Arial" w:hAnsi="Arial" w:cs="Arial"/>
          <w:sz w:val="22"/>
          <w:szCs w:val="22"/>
        </w:rPr>
        <w:t>, 6 de março</w:t>
      </w:r>
      <w:r w:rsidRPr="00A00DA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2024</w:t>
      </w:r>
      <w:r w:rsidRPr="00A00DAB">
        <w:rPr>
          <w:rFonts w:ascii="Arial" w:hAnsi="Arial" w:cs="Arial"/>
          <w:sz w:val="22"/>
          <w:szCs w:val="22"/>
        </w:rPr>
        <w:t>.</w:t>
      </w:r>
    </w:p>
    <w:p w:rsidR="005D55C6" w:rsidRPr="00A00DAB" w:rsidRDefault="005D55C6" w:rsidP="005D55C6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D55C6" w:rsidRDefault="005D55C6" w:rsidP="005D55C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D55C6" w:rsidRPr="008725CD" w:rsidRDefault="005D55C6" w:rsidP="005D55C6"/>
    <w:p w:rsidR="005D55C6" w:rsidRDefault="005D55C6" w:rsidP="005D55C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5D55C6" w:rsidRPr="008725CD" w:rsidRDefault="005D55C6" w:rsidP="005D55C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D55C6" w:rsidRDefault="005D55C6" w:rsidP="005D55C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D55C6" w:rsidRDefault="005D55C6" w:rsidP="005D55C6"/>
    <w:p w:rsidR="005D55C6" w:rsidRDefault="005D55C6" w:rsidP="005D55C6"/>
    <w:p w:rsidR="005D55C6" w:rsidRPr="00A00DAB" w:rsidRDefault="005D55C6" w:rsidP="005D55C6">
      <w:pPr>
        <w:rPr>
          <w:rFonts w:ascii="Arial" w:eastAsia="Arial Unicode MS" w:hAnsi="Arial" w:cs="Arial"/>
          <w:sz w:val="22"/>
          <w:szCs w:val="22"/>
        </w:rPr>
      </w:pPr>
    </w:p>
    <w:p w:rsidR="00CB19D3" w:rsidRDefault="00CB19D3" w:rsidP="005D55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19D3">
        <w:rPr>
          <w:rFonts w:ascii="Arial" w:hAnsi="Arial" w:cs="Arial"/>
          <w:b/>
          <w:bCs/>
          <w:sz w:val="22"/>
          <w:szCs w:val="22"/>
        </w:rPr>
        <w:t xml:space="preserve">Antônio de Oliveira Figueiredo </w:t>
      </w:r>
    </w:p>
    <w:p w:rsidR="005D55C6" w:rsidRDefault="005D55C6" w:rsidP="005D55C6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CB19D3" w:rsidRPr="008725CD" w:rsidRDefault="00CB19D3" w:rsidP="005D55C6">
      <w:pPr>
        <w:jc w:val="center"/>
        <w:rPr>
          <w:rFonts w:ascii="Arial" w:hAnsi="Arial" w:cs="Arial"/>
          <w:bCs/>
          <w:sz w:val="22"/>
          <w:szCs w:val="22"/>
        </w:rPr>
      </w:pPr>
      <w:r w:rsidRPr="00E05B45">
        <w:rPr>
          <w:rFonts w:ascii="Arial" w:hAnsi="Arial" w:cs="Arial"/>
          <w:b/>
          <w:sz w:val="22"/>
          <w:szCs w:val="22"/>
        </w:rPr>
        <w:t>SUPERMERCADO DO PORTUGUES 1 LTDA</w:t>
      </w:r>
      <w:bookmarkStart w:id="0" w:name="_GoBack"/>
      <w:bookmarkEnd w:id="0"/>
    </w:p>
    <w:p w:rsidR="005D55C6" w:rsidRPr="001921AE" w:rsidRDefault="005D55C6" w:rsidP="005D55C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p w:rsidR="005669A7" w:rsidRDefault="005669A7"/>
    <w:sectPr w:rsidR="005669A7" w:rsidSect="00BA29D8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D8" w:rsidRDefault="00BA29D8" w:rsidP="00BA29D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BA29D8" w:rsidRPr="00CF1716" w:rsidRDefault="00BA29D8" w:rsidP="00BA29D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BA29D8" w:rsidRPr="00CF1716" w:rsidRDefault="00BA29D8" w:rsidP="00BA29D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BA29D8" w:rsidRPr="00CF1716" w:rsidRDefault="00BA29D8" w:rsidP="00BA29D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BA29D8" w:rsidRPr="00CF1716" w:rsidRDefault="00BA29D8" w:rsidP="00BA29D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BA29D8" w:rsidRDefault="00BA29D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BA29D8" w:rsidTr="00BA29D8">
      <w:trPr>
        <w:jc w:val="center"/>
      </w:trPr>
      <w:tc>
        <w:tcPr>
          <w:tcW w:w="1843" w:type="dxa"/>
        </w:tcPr>
        <w:p w:rsidR="00BA29D8" w:rsidRDefault="00BA29D8" w:rsidP="00BA29D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69C5281B" wp14:editId="4BA07969">
                <wp:extent cx="490539" cy="5905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0" cy="599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BA29D8" w:rsidRDefault="00BA29D8" w:rsidP="00BA29D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BA29D8" w:rsidRDefault="00BA29D8" w:rsidP="00BA29D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BA29D8" w:rsidRDefault="00BA29D8" w:rsidP="00BA29D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BA29D8" w:rsidRDefault="00BA29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6"/>
    <w:rsid w:val="001F1CE3"/>
    <w:rsid w:val="005669A7"/>
    <w:rsid w:val="005D55C6"/>
    <w:rsid w:val="0062657E"/>
    <w:rsid w:val="00BA29D8"/>
    <w:rsid w:val="00C56ECC"/>
    <w:rsid w:val="00CB19D3"/>
    <w:rsid w:val="00F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448F"/>
  <w15:chartTrackingRefBased/>
  <w15:docId w15:val="{4BF657D5-9A19-44D9-900E-95E01437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D55C6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5D55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D55C6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5D55C6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D55C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D55C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5D55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5D55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D55C6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D55C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D55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55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55C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55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5D55C6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customStyle="1" w:styleId="Contedodetabela">
    <w:name w:val="Conteúdo de tabela"/>
    <w:basedOn w:val="Corpodetexto"/>
    <w:rsid w:val="00BA29D8"/>
    <w:pPr>
      <w:suppressLineNumbers/>
      <w:suppressAutoHyphens/>
    </w:pPr>
  </w:style>
  <w:style w:type="paragraph" w:styleId="SemEspaamento">
    <w:name w:val="No Spacing"/>
    <w:basedOn w:val="Normal"/>
    <w:link w:val="SemEspaamentoChar"/>
    <w:uiPriority w:val="1"/>
    <w:qFormat/>
    <w:rsid w:val="00BA29D8"/>
    <w:rPr>
      <w:rFonts w:ascii="Calibri" w:hAnsi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A29D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5159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2024-03-06T17:22:00Z</dcterms:created>
  <dcterms:modified xsi:type="dcterms:W3CDTF">2024-03-06T17:51:00Z</dcterms:modified>
</cp:coreProperties>
</file>