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47283E">
        <w:rPr>
          <w:rFonts w:ascii="Arial" w:hAnsi="Arial" w:cs="Arial"/>
          <w:b/>
          <w:bCs/>
          <w:sz w:val="22"/>
          <w:szCs w:val="22"/>
        </w:rPr>
        <w:t>01/2024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47283E">
        <w:rPr>
          <w:rFonts w:ascii="Arial" w:hAnsi="Arial" w:cs="Arial"/>
          <w:b/>
          <w:bCs/>
          <w:sz w:val="22"/>
          <w:szCs w:val="22"/>
        </w:rPr>
        <w:t>06/2024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</w:t>
      </w:r>
      <w:r w:rsidR="001B11FB" w:rsidRPr="00DD79AD">
        <w:rPr>
          <w:rFonts w:ascii="Arial" w:hAnsi="Arial" w:cs="Arial"/>
          <w:b/>
          <w:bCs/>
          <w:sz w:val="22"/>
          <w:szCs w:val="22"/>
        </w:rPr>
        <w:t xml:space="preserve"> UNITÁRIO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413AA2">
        <w:rPr>
          <w:rFonts w:ascii="Arial" w:hAnsi="Arial" w:cs="Arial"/>
          <w:b/>
          <w:bCs/>
          <w:sz w:val="22"/>
          <w:szCs w:val="22"/>
        </w:rPr>
        <w:t>29/01/2024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FC00EE"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79AD">
        <w:rPr>
          <w:rFonts w:ascii="Arial" w:hAnsi="Arial" w:cs="Arial"/>
          <w:b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b/>
          <w:sz w:val="22"/>
          <w:szCs w:val="22"/>
        </w:rPr>
        <w:t xml:space="preserve">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1513A4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47283E">
        <w:rPr>
          <w:rFonts w:ascii="Arial" w:hAnsi="Arial" w:cs="Arial"/>
          <w:sz w:val="22"/>
          <w:szCs w:val="22"/>
        </w:rPr>
        <w:t>15 de Janeiro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47283E">
        <w:rPr>
          <w:rFonts w:ascii="Arial" w:hAnsi="Arial" w:cs="Arial"/>
          <w:b/>
          <w:bCs/>
          <w:sz w:val="22"/>
          <w:szCs w:val="22"/>
        </w:rPr>
        <w:t>01/2024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47283E">
        <w:rPr>
          <w:rFonts w:ascii="Arial" w:hAnsi="Arial" w:cs="Arial"/>
          <w:b/>
          <w:bCs/>
          <w:sz w:val="22"/>
          <w:szCs w:val="22"/>
        </w:rPr>
        <w:t>06/2024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413AA2">
        <w:rPr>
          <w:rFonts w:ascii="Arial" w:hAnsi="Arial" w:cs="Arial"/>
          <w:b/>
          <w:bCs/>
          <w:sz w:val="22"/>
          <w:szCs w:val="22"/>
        </w:rPr>
        <w:t>29/01/2024</w:t>
      </w:r>
    </w:p>
    <w:p w:rsidR="003062B0" w:rsidRPr="00DD79AD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47283E">
        <w:rPr>
          <w:rFonts w:ascii="Arial" w:hAnsi="Arial" w:cs="Arial"/>
          <w:b/>
          <w:iCs/>
          <w:sz w:val="22"/>
          <w:szCs w:val="22"/>
        </w:rPr>
        <w:t>01/2024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413AA2">
        <w:rPr>
          <w:rFonts w:ascii="Arial" w:hAnsi="Arial" w:cs="Arial"/>
          <w:sz w:val="22"/>
          <w:szCs w:val="22"/>
        </w:rPr>
        <w:t>16</w:t>
      </w:r>
      <w:r w:rsidR="00BD10AC">
        <w:rPr>
          <w:rFonts w:ascii="Arial" w:hAnsi="Arial" w:cs="Arial"/>
          <w:sz w:val="22"/>
          <w:szCs w:val="22"/>
        </w:rPr>
        <w:t>/</w:t>
      </w:r>
      <w:r w:rsidR="00BF0243">
        <w:rPr>
          <w:rFonts w:ascii="Arial" w:hAnsi="Arial" w:cs="Arial"/>
          <w:sz w:val="22"/>
          <w:szCs w:val="22"/>
        </w:rPr>
        <w:t>01/2024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413AA2">
        <w:rPr>
          <w:rFonts w:ascii="Arial" w:hAnsi="Arial" w:cs="Arial"/>
          <w:sz w:val="22"/>
          <w:szCs w:val="22"/>
        </w:rPr>
        <w:t>29/01/2024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3779BA" w:rsidRPr="00467786">
        <w:rPr>
          <w:rFonts w:ascii="Arial" w:hAnsi="Arial" w:cs="Arial"/>
          <w:sz w:val="22"/>
          <w:szCs w:val="22"/>
        </w:rPr>
        <w:t>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>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413AA2">
        <w:rPr>
          <w:rFonts w:ascii="Arial" w:hAnsi="Arial" w:cs="Arial"/>
          <w:sz w:val="22"/>
          <w:szCs w:val="22"/>
        </w:rPr>
        <w:t>29/01/2024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891A11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 xml:space="preserve">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</w:t>
      </w:r>
      <w:proofErr w:type="gramStart"/>
      <w:r w:rsidR="00DD79AD" w:rsidRPr="00DD79AD">
        <w:rPr>
          <w:rFonts w:ascii="Arial" w:hAnsi="Arial" w:cs="Arial"/>
          <w:sz w:val="22"/>
          <w:szCs w:val="22"/>
        </w:rPr>
        <w:t>40 ,Centro</w:t>
      </w:r>
      <w:proofErr w:type="gramEnd"/>
      <w:r w:rsidR="00DD79AD" w:rsidRPr="00DD79AD">
        <w:rPr>
          <w:rFonts w:ascii="Arial" w:hAnsi="Arial" w:cs="Arial"/>
          <w:sz w:val="22"/>
          <w:szCs w:val="22"/>
        </w:rPr>
        <w:t xml:space="preserve">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lastRenderedPageBreak/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BF0243"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 xml:space="preserve">devendo protocolizar o pedido diretamente pelo site </w:t>
      </w:r>
      <w:proofErr w:type="spellStart"/>
      <w:r w:rsidR="00413AA2" w:rsidRPr="00413AA2">
        <w:rPr>
          <w:rFonts w:ascii="Arial" w:hAnsi="Arial" w:cs="Arial"/>
          <w:sz w:val="22"/>
          <w:szCs w:val="22"/>
        </w:rPr>
        <w:t>www.bll.org.br</w:t>
      </w:r>
      <w:proofErr w:type="spellEnd"/>
      <w:r w:rsidR="00413AA2" w:rsidRPr="00413AA2">
        <w:rPr>
          <w:rFonts w:ascii="Arial" w:hAnsi="Arial" w:cs="Arial"/>
          <w:sz w:val="22"/>
          <w:szCs w:val="22"/>
        </w:rPr>
        <w:t>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</w:t>
      </w:r>
      <w:r w:rsidRPr="00D05FE8">
        <w:rPr>
          <w:rFonts w:ascii="Arial" w:hAnsi="Arial" w:cs="Arial"/>
          <w:sz w:val="22"/>
          <w:szCs w:val="22"/>
        </w:rPr>
        <w:lastRenderedPageBreak/>
        <w:t xml:space="preserve">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habilitação, nos termos dos </w:t>
      </w:r>
      <w:proofErr w:type="spellStart"/>
      <w:r w:rsidRPr="00413AA2">
        <w:rPr>
          <w:rFonts w:ascii="Arial" w:hAnsi="Arial" w:cs="Arial"/>
          <w:sz w:val="22"/>
          <w:szCs w:val="22"/>
        </w:rPr>
        <w:t>arts</w:t>
      </w:r>
      <w:proofErr w:type="spellEnd"/>
      <w:r w:rsidRPr="00413AA2">
        <w:rPr>
          <w:rFonts w:ascii="Arial" w:hAnsi="Arial" w:cs="Arial"/>
          <w:sz w:val="22"/>
          <w:szCs w:val="22"/>
        </w:rPr>
        <w:t>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</w:t>
      </w:r>
      <w:proofErr w:type="spellStart"/>
      <w:r w:rsidRPr="00413AA2">
        <w:rPr>
          <w:rFonts w:ascii="Arial" w:hAnsi="Arial" w:cs="Arial"/>
          <w:sz w:val="22"/>
          <w:szCs w:val="22"/>
        </w:rPr>
        <w:t>art.63</w:t>
      </w:r>
      <w:proofErr w:type="spellEnd"/>
      <w:r w:rsidRPr="00413AA2">
        <w:rPr>
          <w:rFonts w:ascii="Arial" w:hAnsi="Arial" w:cs="Arial"/>
          <w:sz w:val="22"/>
          <w:szCs w:val="22"/>
        </w:rPr>
        <w:t>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 licitante for a filial, todos os documentos deverão estar em nome da filial, exceto 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outro que venha a substituí-lo, ou </w:t>
      </w:r>
      <w:proofErr w:type="spellStart"/>
      <w:r w:rsidRPr="00413AA2">
        <w:rPr>
          <w:rFonts w:ascii="Arial" w:hAnsi="Arial" w:cs="Arial"/>
          <w:sz w:val="22"/>
          <w:szCs w:val="22"/>
        </w:rPr>
        <w:t>consularizados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do art. 43, § 1º da </w:t>
      </w:r>
      <w:proofErr w:type="spellStart"/>
      <w:r w:rsidRPr="00413AA2">
        <w:rPr>
          <w:rFonts w:ascii="Arial" w:hAnsi="Arial" w:cs="Arial"/>
          <w:sz w:val="22"/>
          <w:szCs w:val="22"/>
        </w:rPr>
        <w:t>LC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</w:t>
      </w:r>
      <w:proofErr w:type="spellStart"/>
      <w:r w:rsidR="00413AA2" w:rsidRPr="00DD79AD">
        <w:rPr>
          <w:rFonts w:ascii="Arial" w:hAnsi="Arial" w:cs="Arial"/>
          <w:sz w:val="22"/>
          <w:szCs w:val="22"/>
        </w:rPr>
        <w:t>VII-A</w:t>
      </w:r>
      <w:proofErr w:type="spellEnd"/>
      <w:r w:rsidR="00413AA2" w:rsidRPr="00DD79AD">
        <w:rPr>
          <w:rFonts w:ascii="Arial" w:hAnsi="Arial" w:cs="Arial"/>
          <w:sz w:val="22"/>
          <w:szCs w:val="22"/>
        </w:rPr>
        <w:t xml:space="preserve">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 xml:space="preserve">conforme modelo (Anexo </w:t>
      </w:r>
      <w:proofErr w:type="spellStart"/>
      <w:r w:rsidRPr="00413AA2">
        <w:rPr>
          <w:rFonts w:ascii="Arial" w:hAnsi="Arial" w:cs="Arial"/>
          <w:sz w:val="22"/>
          <w:szCs w:val="22"/>
        </w:rPr>
        <w:t>III</w:t>
      </w:r>
      <w:proofErr w:type="spellEnd"/>
      <w:r w:rsidRPr="00413AA2">
        <w:rPr>
          <w:rFonts w:ascii="Arial" w:hAnsi="Arial" w:cs="Arial"/>
          <w:sz w:val="22"/>
          <w:szCs w:val="22"/>
        </w:rPr>
        <w:t>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>.1. Apresentar como documento integrante da habilitação pelo menos 01 (uma) cópia autenticada de Atestado de Capacidade Técnica emitido por empresa pública ou privada comprovando o fornecimento dos materiais por ela proposto em acordo com o objeto deste certame. Este documento, deverá conter o timbre da instituição emitente, nome legível, cargo e/ou função da pessoa competente por atestar o fornecimento.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1716" w:rsidRDefault="00414C03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.2 </w:t>
      </w:r>
      <w:r w:rsidR="00413AA2" w:rsidRPr="00CF1716">
        <w:rPr>
          <w:rFonts w:ascii="Arial" w:hAnsi="Arial" w:cs="Arial"/>
          <w:iCs/>
          <w:sz w:val="22"/>
          <w:szCs w:val="22"/>
        </w:rPr>
        <w:t>Certificado de Autorização de atividade de revenda de combustível emitida pela Agência Nacional do Petróleo – ANP, nos termos da Lei Federal nº 9.478/97 e Portaria ANP nº 116, de 05 de julho de 2000;</w:t>
      </w:r>
    </w:p>
    <w:p w:rsidR="00413AA2" w:rsidRPr="00CF1716" w:rsidRDefault="00413AA2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13AA2" w:rsidRDefault="00414C03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.3 </w:t>
      </w:r>
      <w:r w:rsidR="00413AA2" w:rsidRPr="00CF1716">
        <w:rPr>
          <w:rFonts w:ascii="Arial" w:hAnsi="Arial" w:cs="Arial"/>
          <w:iCs/>
          <w:sz w:val="22"/>
          <w:szCs w:val="22"/>
        </w:rPr>
        <w:t xml:space="preserve">Licença, Alvará ou Autorização Ambiental de Funcionamento emitido pelo COPAM – Conselho Estadual de Política Ambiental, nos termos do art. 5º, inc. </w:t>
      </w:r>
      <w:proofErr w:type="spellStart"/>
      <w:r w:rsidR="00413AA2" w:rsidRPr="00CF1716">
        <w:rPr>
          <w:rFonts w:ascii="Arial" w:hAnsi="Arial" w:cs="Arial"/>
          <w:iCs/>
          <w:sz w:val="22"/>
          <w:szCs w:val="22"/>
        </w:rPr>
        <w:t>IX</w:t>
      </w:r>
      <w:proofErr w:type="spellEnd"/>
      <w:r w:rsidR="00413AA2" w:rsidRPr="00CF1716">
        <w:rPr>
          <w:rFonts w:ascii="Arial" w:hAnsi="Arial" w:cs="Arial"/>
          <w:iCs/>
          <w:sz w:val="22"/>
          <w:szCs w:val="22"/>
        </w:rPr>
        <w:t>, da Lei Estadual nº 7.772, de 08 de Setembro de 1.980 e demais legislações pertinentes;</w:t>
      </w:r>
    </w:p>
    <w:p w:rsidR="00413AA2" w:rsidRPr="00CF1716" w:rsidRDefault="00413AA2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13AA2" w:rsidRDefault="00414C03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.4 </w:t>
      </w:r>
      <w:r w:rsidR="00413AA2" w:rsidRPr="00CF1716">
        <w:rPr>
          <w:rFonts w:ascii="Arial" w:hAnsi="Arial" w:cs="Arial"/>
          <w:iCs/>
          <w:sz w:val="22"/>
          <w:szCs w:val="22"/>
        </w:rPr>
        <w:t xml:space="preserve">Licença, Alvará ou Autorização de Funcionamento referente ao Posto de Abastecimento, emitido pela </w:t>
      </w:r>
      <w:r w:rsidR="00413AA2">
        <w:rPr>
          <w:rFonts w:ascii="Arial" w:hAnsi="Arial" w:cs="Arial"/>
          <w:iCs/>
          <w:sz w:val="22"/>
          <w:szCs w:val="22"/>
        </w:rPr>
        <w:t>Prefeitura Municipal de Ipuiuna/MG</w:t>
      </w:r>
      <w:r w:rsidR="00413AA2" w:rsidRPr="00CF1716">
        <w:rPr>
          <w:rFonts w:ascii="Arial" w:hAnsi="Arial" w:cs="Arial"/>
          <w:iCs/>
          <w:sz w:val="22"/>
          <w:szCs w:val="22"/>
        </w:rPr>
        <w:t>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 xml:space="preserve">.1 Declaração, conforme modelo disponibilizado pelo ANEXO </w:t>
      </w:r>
      <w:proofErr w:type="spellStart"/>
      <w:r w:rsidRPr="00452982">
        <w:rPr>
          <w:rFonts w:ascii="Arial" w:hAnsi="Arial" w:cs="Arial"/>
          <w:sz w:val="22"/>
          <w:szCs w:val="22"/>
        </w:rPr>
        <w:t>III</w:t>
      </w:r>
      <w:proofErr w:type="spellEnd"/>
      <w:r w:rsidRPr="00452982">
        <w:rPr>
          <w:rFonts w:ascii="Arial" w:hAnsi="Arial" w:cs="Arial"/>
          <w:sz w:val="22"/>
          <w:szCs w:val="22"/>
        </w:rPr>
        <w:t>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</w:t>
      </w:r>
      <w:proofErr w:type="spellStart"/>
      <w:r w:rsidR="00413AA2" w:rsidRPr="00452982">
        <w:rPr>
          <w:rFonts w:ascii="Arial" w:hAnsi="Arial" w:cs="Arial"/>
          <w:sz w:val="22"/>
          <w:szCs w:val="22"/>
        </w:rPr>
        <w:t>XXXIII</w:t>
      </w:r>
      <w:proofErr w:type="spellEnd"/>
      <w:r w:rsidR="00413AA2" w:rsidRPr="00452982">
        <w:rPr>
          <w:rFonts w:ascii="Arial" w:hAnsi="Arial" w:cs="Arial"/>
          <w:sz w:val="22"/>
          <w:szCs w:val="22"/>
        </w:rPr>
        <w:t xml:space="preserve">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 xml:space="preserve">conforme modelo do Anexo </w:t>
      </w:r>
      <w:proofErr w:type="spellStart"/>
      <w:r w:rsidR="00413AA2" w:rsidRPr="00150E9D">
        <w:rPr>
          <w:rFonts w:ascii="Arial" w:hAnsi="Arial" w:cs="Arial"/>
          <w:sz w:val="22"/>
          <w:szCs w:val="22"/>
        </w:rPr>
        <w:t>IV</w:t>
      </w:r>
      <w:proofErr w:type="spellEnd"/>
      <w:r w:rsidR="00413AA2" w:rsidRPr="00150E9D">
        <w:rPr>
          <w:rFonts w:ascii="Arial" w:hAnsi="Arial" w:cs="Arial"/>
          <w:sz w:val="22"/>
          <w:szCs w:val="22"/>
        </w:rPr>
        <w:t>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 xml:space="preserve">ação, conforme modelo do Anexo </w:t>
      </w:r>
      <w:proofErr w:type="spellStart"/>
      <w:r w:rsidR="00642FD4">
        <w:rPr>
          <w:rFonts w:ascii="Arial" w:hAnsi="Arial" w:cs="Arial"/>
          <w:sz w:val="22"/>
          <w:szCs w:val="22"/>
        </w:rPr>
        <w:t>IV</w:t>
      </w:r>
      <w:proofErr w:type="spellEnd"/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</w:t>
      </w:r>
      <w:proofErr w:type="spellStart"/>
      <w:r w:rsidRPr="00DD79AD">
        <w:rPr>
          <w:rFonts w:ascii="Arial" w:hAnsi="Arial" w:cs="Arial"/>
          <w:sz w:val="22"/>
          <w:szCs w:val="22"/>
        </w:rPr>
        <w:t>EPP</w:t>
      </w:r>
      <w:proofErr w:type="spellEnd"/>
      <w:r w:rsidRPr="00DD79AD">
        <w:rPr>
          <w:rFonts w:ascii="Arial" w:hAnsi="Arial" w:cs="Arial"/>
          <w:sz w:val="22"/>
          <w:szCs w:val="22"/>
        </w:rPr>
        <w:t>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relação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lastRenderedPageBreak/>
        <w:t>deverão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superior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para o fim de aplicar-se o disposto nos artigos 44 e 45 da </w:t>
      </w:r>
      <w:proofErr w:type="spellStart"/>
      <w:r w:rsidRPr="0032783D">
        <w:rPr>
          <w:rFonts w:ascii="Arial" w:hAnsi="Arial" w:cs="Arial"/>
          <w:sz w:val="22"/>
          <w:szCs w:val="22"/>
        </w:rPr>
        <w:t>LC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classificação</w:t>
      </w:r>
      <w:proofErr w:type="gramEnd"/>
      <w:r w:rsidRPr="0032783D">
        <w:rPr>
          <w:rFonts w:ascii="Arial" w:hAnsi="Arial" w:cs="Arial"/>
          <w:sz w:val="22"/>
          <w:szCs w:val="22"/>
        </w:rPr>
        <w:t>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preferencialmente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quando se tratar de mais de um item por lote o Pregoeiro solicitará ao licitante </w:t>
      </w:r>
      <w:r w:rsidRPr="0032783D">
        <w:rPr>
          <w:rFonts w:ascii="Arial" w:hAnsi="Arial" w:cs="Arial"/>
          <w:sz w:val="22"/>
          <w:szCs w:val="22"/>
        </w:rPr>
        <w:lastRenderedPageBreak/>
        <w:t>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 xml:space="preserve">Encerrada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preço em relação ao máximo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de preços com os preços unitários (com no máximo quatro casas decimais depois da vírgula) e globais (com no máximo duas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 MENOR PREÇO,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máximo aceitável, os prazos para fornecimento, as especificações técnicas, parâmetros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mínimos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vantajosidade imediatamente após a fase de aceitação das propostas ou, quando </w:t>
      </w:r>
      <w:r w:rsidRPr="0032783D">
        <w:rPr>
          <w:rFonts w:ascii="Arial" w:hAnsi="Arial" w:cs="Arial"/>
          <w:sz w:val="22"/>
          <w:szCs w:val="22"/>
        </w:rPr>
        <w:lastRenderedPageBreak/>
        <w:t>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desatender às exigências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>, o pregoeiro poderá examinar a proposta 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verificando a sua aceitabilidade e procederá a verificação das condições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</w:t>
      </w:r>
      <w:proofErr w:type="spellStart"/>
      <w:r w:rsidRPr="0032783D">
        <w:rPr>
          <w:rFonts w:ascii="Arial" w:hAnsi="Arial" w:cs="Arial"/>
          <w:sz w:val="22"/>
          <w:szCs w:val="22"/>
        </w:rPr>
        <w:t>ões</w:t>
      </w:r>
      <w:proofErr w:type="spellEnd"/>
      <w:r w:rsidRPr="0032783D">
        <w:rPr>
          <w:rFonts w:ascii="Arial" w:hAnsi="Arial" w:cs="Arial"/>
          <w:sz w:val="22"/>
          <w:szCs w:val="22"/>
        </w:rPr>
        <w:t>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declarado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is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 decisão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ões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momento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existência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aplicação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</w:t>
      </w:r>
      <w:proofErr w:type="spellStart"/>
      <w:r w:rsidR="00DD0BC3" w:rsidRPr="00DD0BC3">
        <w:rPr>
          <w:rFonts w:ascii="Arial" w:hAnsi="Arial" w:cs="Arial"/>
          <w:sz w:val="22"/>
          <w:szCs w:val="22"/>
        </w:rPr>
        <w:t>is</w:t>
      </w:r>
      <w:proofErr w:type="spellEnd"/>
      <w:r w:rsidR="00DD0BC3" w:rsidRPr="00DD0BC3">
        <w:rPr>
          <w:rFonts w:ascii="Arial" w:hAnsi="Arial" w:cs="Arial"/>
          <w:sz w:val="22"/>
          <w:szCs w:val="22"/>
        </w:rPr>
        <w:t>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constituem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conformidade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complementares</w:t>
      </w:r>
      <w:proofErr w:type="gramEnd"/>
      <w:r w:rsidRPr="00DD0BC3">
        <w:rPr>
          <w:rFonts w:ascii="Arial" w:hAnsi="Arial" w:cs="Arial"/>
          <w:sz w:val="22"/>
          <w:szCs w:val="22"/>
        </w:rPr>
        <w:t>, sendo que o transporte até o(s) local(</w:t>
      </w:r>
      <w:proofErr w:type="spellStart"/>
      <w:r w:rsidRPr="00DD0BC3">
        <w:rPr>
          <w:rFonts w:ascii="Arial" w:hAnsi="Arial" w:cs="Arial"/>
          <w:sz w:val="22"/>
          <w:szCs w:val="22"/>
        </w:rPr>
        <w:t>is</w:t>
      </w:r>
      <w:proofErr w:type="spellEnd"/>
      <w:r w:rsidRPr="00DD0BC3">
        <w:rPr>
          <w:rFonts w:ascii="Arial" w:hAnsi="Arial" w:cs="Arial"/>
          <w:sz w:val="22"/>
          <w:szCs w:val="22"/>
        </w:rPr>
        <w:t>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prepostos, obrigando-se outrossim por quaisquer responsabilidades 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BC3">
        <w:rPr>
          <w:rFonts w:ascii="Arial" w:hAnsi="Arial" w:cs="Arial"/>
          <w:sz w:val="22"/>
          <w:szCs w:val="22"/>
        </w:rPr>
        <w:t>etc</w:t>
      </w:r>
      <w:proofErr w:type="spellEnd"/>
      <w:r w:rsidRPr="00DD0BC3">
        <w:rPr>
          <w:rFonts w:ascii="Arial" w:hAnsi="Arial" w:cs="Arial"/>
          <w:sz w:val="22"/>
          <w:szCs w:val="22"/>
        </w:rPr>
        <w:t>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aceitação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>providencie as medidas saneadoras. Nesta hipótese, o prazo para 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responsabilidade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cláusulas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206A0">
        <w:rPr>
          <w:rFonts w:ascii="Arial" w:hAnsi="Arial" w:cs="Arial"/>
          <w:sz w:val="22"/>
          <w:szCs w:val="22"/>
          <w:u w:val="single"/>
        </w:rPr>
        <w:t>envio</w:t>
      </w:r>
      <w:proofErr w:type="gramEnd"/>
      <w:r w:rsidRPr="00E206A0">
        <w:rPr>
          <w:rFonts w:ascii="Arial" w:hAnsi="Arial" w:cs="Arial"/>
          <w:sz w:val="22"/>
          <w:szCs w:val="22"/>
          <w:u w:val="single"/>
        </w:rPr>
        <w:t xml:space="preserve">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proofErr w:type="spellStart"/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  <w:proofErr w:type="spellEnd"/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não veracidade das informações prestadas, poderá acarretar, 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superior a 10 (dez) dias corridos ou em situações que acarretem prejuízo a 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47283E">
        <w:rPr>
          <w:rFonts w:ascii="Arial" w:hAnsi="Arial" w:cs="Arial"/>
          <w:sz w:val="22"/>
          <w:szCs w:val="22"/>
        </w:rPr>
        <w:t>15 de Janeiro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D66EF" w:rsidRDefault="00FD66EF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54FE" w:rsidRDefault="00B054FE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D66EF" w:rsidRPr="004D586B" w:rsidRDefault="00FD66EF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B054FE" w:rsidRPr="00B054FE" w:rsidRDefault="00B054FE" w:rsidP="00B054FE">
      <w:pPr>
        <w:pStyle w:val="Ttulo1"/>
        <w:jc w:val="center"/>
        <w:rPr>
          <w:sz w:val="22"/>
          <w:szCs w:val="22"/>
        </w:rPr>
      </w:pPr>
      <w:r w:rsidRPr="00B054FE">
        <w:rPr>
          <w:sz w:val="22"/>
          <w:szCs w:val="22"/>
        </w:rPr>
        <w:t>TERMO DE REFERÊNCIA</w:t>
      </w:r>
    </w:p>
    <w:p w:rsidR="00B054FE" w:rsidRPr="00C25F1A" w:rsidRDefault="00B054FE" w:rsidP="00B054F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1- DO OBJETO</w:t>
      </w:r>
      <w:r>
        <w:rPr>
          <w:rFonts w:ascii="Arial" w:hAnsi="Arial" w:cs="Arial"/>
          <w:b/>
          <w:sz w:val="22"/>
          <w:szCs w:val="22"/>
        </w:rPr>
        <w:t xml:space="preserve"> E MODALIDADE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Objeto: </w:t>
      </w:r>
      <w:r w:rsidR="00BF0243">
        <w:rPr>
          <w:rFonts w:ascii="Arial" w:hAnsi="Arial" w:cs="Arial"/>
          <w:sz w:val="22"/>
          <w:szCs w:val="22"/>
        </w:rPr>
        <w:t>AQUISIÇÃO DE COMBUSTÍVEIS PARA OS VEÍCULOS DA FROTA DA PREFEITURA MUNICIPAL DE IPUIUNA/MG</w:t>
      </w:r>
      <w:r w:rsidRPr="00C25F1A">
        <w:rPr>
          <w:rFonts w:ascii="Arial" w:hAnsi="Arial" w:cs="Arial"/>
          <w:sz w:val="22"/>
          <w:szCs w:val="22"/>
        </w:rPr>
        <w:t>.</w:t>
      </w: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Modalidade: Pregão Eletrônico para o Registro de Preços. 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2- DO PRAZO</w:t>
      </w:r>
      <w:r>
        <w:rPr>
          <w:rFonts w:ascii="Arial" w:hAnsi="Arial" w:cs="Arial"/>
          <w:b/>
          <w:sz w:val="22"/>
          <w:szCs w:val="22"/>
        </w:rPr>
        <w:t xml:space="preserve"> DE VIGÊNCIA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A vigência </w:t>
      </w:r>
      <w:r>
        <w:rPr>
          <w:rFonts w:ascii="Arial" w:hAnsi="Arial" w:cs="Arial"/>
          <w:sz w:val="22"/>
          <w:szCs w:val="22"/>
        </w:rPr>
        <w:t>da Ata de Registro de Preços e d</w:t>
      </w:r>
      <w:r w:rsidRPr="00C25F1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</w:t>
      </w:r>
      <w:r w:rsidRPr="00C25F1A">
        <w:rPr>
          <w:rFonts w:ascii="Arial" w:hAnsi="Arial" w:cs="Arial"/>
          <w:sz w:val="22"/>
          <w:szCs w:val="22"/>
        </w:rPr>
        <w:t>ontrato será até 12 (doze) meses a partir de sua assinatura.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3- DAS CONDIÇÕES DE FORNECIMENTO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O fornecimento dos combu</w:t>
      </w:r>
      <w:r>
        <w:rPr>
          <w:rFonts w:ascii="Arial" w:hAnsi="Arial" w:cs="Arial"/>
          <w:sz w:val="22"/>
          <w:szCs w:val="22"/>
        </w:rPr>
        <w:t xml:space="preserve">stíveis será de forma parcelada, de acordo com as necessidades da Secretaria Requisitante.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7631A8">
        <w:rPr>
          <w:rFonts w:ascii="Arial" w:hAnsi="Arial" w:cs="Arial"/>
          <w:sz w:val="22"/>
          <w:szCs w:val="22"/>
          <w:highlight w:val="yellow"/>
        </w:rPr>
        <w:t>O posto de abastecimento deverá estar localizado dentro do perímetro urbano de Ipuiuna/MG.</w:t>
      </w:r>
      <w:r w:rsidRPr="00C25F1A">
        <w:rPr>
          <w:rFonts w:ascii="Arial" w:hAnsi="Arial" w:cs="Arial"/>
          <w:sz w:val="22"/>
          <w:szCs w:val="22"/>
        </w:rPr>
        <w:t xml:space="preserve">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4- DA JUSTIFICATIVA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A Prefeitura Municipal de Ipuiuna /MG não possui posto de combustível próprio para o abastecimento dos veículos que compõem a sua frota, motivo pelo qual se torna necessária a aquisição dos combustíveis (Gasolina</w:t>
      </w:r>
      <w:r w:rsidR="00E206A0">
        <w:rPr>
          <w:rFonts w:ascii="Arial" w:hAnsi="Arial" w:cs="Arial"/>
          <w:sz w:val="22"/>
          <w:szCs w:val="22"/>
        </w:rPr>
        <w:t xml:space="preserve"> Comum</w:t>
      </w:r>
      <w:r w:rsidRPr="00C25F1A">
        <w:rPr>
          <w:rFonts w:ascii="Arial" w:hAnsi="Arial" w:cs="Arial"/>
          <w:sz w:val="22"/>
          <w:szCs w:val="22"/>
        </w:rPr>
        <w:t>,</w:t>
      </w:r>
      <w:r w:rsidR="00E206A0">
        <w:rPr>
          <w:rFonts w:ascii="Arial" w:hAnsi="Arial" w:cs="Arial"/>
          <w:sz w:val="22"/>
          <w:szCs w:val="22"/>
        </w:rPr>
        <w:t xml:space="preserve"> Gasolina Aditivada,</w:t>
      </w:r>
      <w:r w:rsidRPr="00C25F1A">
        <w:rPr>
          <w:rFonts w:ascii="Arial" w:hAnsi="Arial" w:cs="Arial"/>
          <w:sz w:val="22"/>
          <w:szCs w:val="22"/>
        </w:rPr>
        <w:t xml:space="preserve"> Álcool/Etanol, Diesel Comum </w:t>
      </w:r>
      <w:proofErr w:type="spellStart"/>
      <w:r w:rsidRPr="00C25F1A">
        <w:rPr>
          <w:rFonts w:ascii="Arial" w:hAnsi="Arial" w:cs="Arial"/>
          <w:sz w:val="22"/>
          <w:szCs w:val="22"/>
        </w:rPr>
        <w:t>S500</w:t>
      </w:r>
      <w:proofErr w:type="spellEnd"/>
      <w:r w:rsidRPr="00C25F1A">
        <w:rPr>
          <w:rFonts w:ascii="Arial" w:hAnsi="Arial" w:cs="Arial"/>
          <w:sz w:val="22"/>
          <w:szCs w:val="22"/>
        </w:rPr>
        <w:t xml:space="preserve"> e Diesel Comum </w:t>
      </w:r>
      <w:proofErr w:type="spellStart"/>
      <w:r w:rsidRPr="00C25F1A">
        <w:rPr>
          <w:rFonts w:ascii="Arial" w:hAnsi="Arial" w:cs="Arial"/>
          <w:sz w:val="22"/>
          <w:szCs w:val="22"/>
        </w:rPr>
        <w:t>S10</w:t>
      </w:r>
      <w:proofErr w:type="spellEnd"/>
      <w:r w:rsidRPr="00C25F1A">
        <w:rPr>
          <w:rFonts w:ascii="Arial" w:hAnsi="Arial" w:cs="Arial"/>
          <w:sz w:val="22"/>
          <w:szCs w:val="22"/>
        </w:rPr>
        <w:t xml:space="preserve">), através de processo licitatório. Os quantitativos dos combustíveis ora solicitados tiveram como base a licitação praticada no último ano.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A exigência referente à localização do posto de combustível se faz necessária tendo em vista a obtenção da proposta mais vantajosa para a Prefeitura Municipal de Ipuiuna /MG, baseado nos princípios da economicidade e celeridade do serviço público, pois, se o posto de combustível estiver localizado fora do perímetro urbano de Ipuiuna /MG, a vantagem ficará prejudicada em razão do aumento do tempo e o custo com o deslocamento da frota, havendo na distância estabelecida, postos de combustíveis em número suficiente não comprometendo o princípio da competitividade.  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5- DO LOCAL DA ENTREGA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E206A0" w:rsidP="00B054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produtos licitados</w:t>
      </w:r>
      <w:r w:rsidR="00B054FE" w:rsidRPr="00C25F1A">
        <w:rPr>
          <w:rFonts w:ascii="Arial" w:hAnsi="Arial" w:cs="Arial"/>
          <w:sz w:val="22"/>
          <w:szCs w:val="22"/>
        </w:rPr>
        <w:t xml:space="preserve"> serão fornecidos diretamente no posto de abastecimento da empresa contratada, obedecendo às determinações deste Termo de Referência.  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6- DAS ESPECIFICAÇÕES </w:t>
      </w:r>
      <w:r w:rsidR="00E206A0" w:rsidRPr="00C25F1A">
        <w:rPr>
          <w:rFonts w:ascii="Arial" w:hAnsi="Arial" w:cs="Arial"/>
          <w:b/>
          <w:sz w:val="22"/>
          <w:szCs w:val="22"/>
        </w:rPr>
        <w:t>TÉCNICAS</w:t>
      </w:r>
      <w:r w:rsidRPr="00C25F1A">
        <w:rPr>
          <w:rFonts w:ascii="Arial" w:hAnsi="Arial" w:cs="Arial"/>
          <w:b/>
          <w:sz w:val="22"/>
          <w:szCs w:val="22"/>
        </w:rPr>
        <w:t xml:space="preserve"> DOS PRODUTOS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(Álcool/Etanol, Gasolina</w:t>
      </w:r>
      <w:r w:rsidR="00E206A0">
        <w:rPr>
          <w:rFonts w:ascii="Arial" w:hAnsi="Arial" w:cs="Arial"/>
          <w:sz w:val="22"/>
          <w:szCs w:val="22"/>
        </w:rPr>
        <w:t xml:space="preserve"> Comum</w:t>
      </w:r>
      <w:r w:rsidRPr="00C25F1A">
        <w:rPr>
          <w:rFonts w:ascii="Arial" w:hAnsi="Arial" w:cs="Arial"/>
          <w:sz w:val="22"/>
          <w:szCs w:val="22"/>
        </w:rPr>
        <w:t>,</w:t>
      </w:r>
      <w:r w:rsidR="00E206A0">
        <w:rPr>
          <w:rFonts w:ascii="Arial" w:hAnsi="Arial" w:cs="Arial"/>
          <w:sz w:val="22"/>
          <w:szCs w:val="22"/>
        </w:rPr>
        <w:t xml:space="preserve"> Gasolina Aditivada,</w:t>
      </w:r>
      <w:r w:rsidRPr="00C25F1A">
        <w:rPr>
          <w:rFonts w:ascii="Arial" w:hAnsi="Arial" w:cs="Arial"/>
          <w:sz w:val="22"/>
          <w:szCs w:val="22"/>
        </w:rPr>
        <w:t xml:space="preserve"> Diesel Comum </w:t>
      </w:r>
      <w:proofErr w:type="spellStart"/>
      <w:r w:rsidRPr="00C25F1A">
        <w:rPr>
          <w:rFonts w:ascii="Arial" w:hAnsi="Arial" w:cs="Arial"/>
          <w:sz w:val="22"/>
          <w:szCs w:val="22"/>
        </w:rPr>
        <w:t>S500</w:t>
      </w:r>
      <w:proofErr w:type="spellEnd"/>
      <w:r w:rsidRPr="00C25F1A">
        <w:rPr>
          <w:rFonts w:ascii="Arial" w:hAnsi="Arial" w:cs="Arial"/>
          <w:sz w:val="22"/>
          <w:szCs w:val="22"/>
        </w:rPr>
        <w:t xml:space="preserve"> e Diesel Comum S-10 conforme regulamentação técnica da Agência Nacional do Petróleo – ANP).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7- DAS QUANTIDADES ESTIMADAS 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Secretaria de Saúde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Quantidade Estimada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Álcool/Etanol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 w:rsidR="00E206A0">
              <w:rPr>
                <w:rFonts w:ascii="Arial" w:hAnsi="Arial" w:cs="Arial"/>
                <w:sz w:val="22"/>
                <w:szCs w:val="22"/>
              </w:rPr>
              <w:t xml:space="preserve"> Comum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Aditivada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Diesel Comum S 500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Secretaria de Educação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Quantidade Estimada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Álcool/Etanol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Comum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Aditivada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Diesel Comum S 500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100.000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60.000</w:t>
            </w:r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Secretaria de Assistência Social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Quantidade Estimada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Álcool/Etanol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Comum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Aditivada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Diesel Comum S 500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Gabinete – Estradas e Rodagens - Serviços Urbanos e Obras – Conselho Tutelar – Polícia Militar (convênio) – Polícia Civil (convênio).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Quantidade Estimada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Álcool/Etanol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Comum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Aditivada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Diesel Comum S 500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100.000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60.000</w:t>
            </w:r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 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TOTAL GERAL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F1A">
              <w:rPr>
                <w:rFonts w:ascii="Arial" w:hAnsi="Arial" w:cs="Arial"/>
                <w:b/>
                <w:sz w:val="22"/>
                <w:szCs w:val="22"/>
              </w:rPr>
              <w:t>Quantidade Estimada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Álcool/Etanol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25F1A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Comum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120.000</w:t>
            </w:r>
          </w:p>
        </w:tc>
      </w:tr>
      <w:tr w:rsidR="00E206A0" w:rsidRPr="00C25F1A" w:rsidTr="00650069">
        <w:tc>
          <w:tcPr>
            <w:tcW w:w="4395" w:type="dxa"/>
          </w:tcPr>
          <w:p w:rsidR="00E206A0" w:rsidRPr="00C25F1A" w:rsidRDefault="00E206A0" w:rsidP="00E20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Gasolina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Aditivada</w:t>
            </w:r>
          </w:p>
        </w:tc>
        <w:tc>
          <w:tcPr>
            <w:tcW w:w="4536" w:type="dxa"/>
          </w:tcPr>
          <w:p w:rsidR="00E206A0" w:rsidRPr="00C25F1A" w:rsidRDefault="00E206A0" w:rsidP="00E2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Diesel Comum S 500</w:t>
            </w:r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250.000</w:t>
            </w:r>
          </w:p>
        </w:tc>
      </w:tr>
      <w:tr w:rsidR="00B054FE" w:rsidRPr="00C25F1A" w:rsidTr="00650069">
        <w:tc>
          <w:tcPr>
            <w:tcW w:w="4395" w:type="dxa"/>
          </w:tcPr>
          <w:p w:rsidR="00B054FE" w:rsidRPr="00C25F1A" w:rsidRDefault="00B054FE" w:rsidP="00650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25F1A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4536" w:type="dxa"/>
          </w:tcPr>
          <w:p w:rsidR="00B054FE" w:rsidRPr="00C25F1A" w:rsidRDefault="00B054FE" w:rsidP="00650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F1A">
              <w:rPr>
                <w:rFonts w:ascii="Arial" w:hAnsi="Arial" w:cs="Arial"/>
                <w:sz w:val="22"/>
                <w:szCs w:val="22"/>
              </w:rPr>
              <w:t>150.000</w:t>
            </w:r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8- DOS RECURSOS </w:t>
      </w:r>
      <w:r w:rsidR="00E206A0" w:rsidRPr="00C25F1A">
        <w:rPr>
          <w:rFonts w:ascii="Arial" w:hAnsi="Arial" w:cs="Arial"/>
          <w:b/>
          <w:sz w:val="22"/>
          <w:szCs w:val="22"/>
        </w:rPr>
        <w:t>ORÇAMENTÁRIOS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As despesas correspondentes a execução do presente contrato correrão por conta das dotações orçamentárias descritas abaixo: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E206A0" w:rsidRPr="00B054FE" w:rsidTr="00E206A0">
        <w:trPr>
          <w:trHeight w:val="344"/>
        </w:trPr>
        <w:tc>
          <w:tcPr>
            <w:tcW w:w="1818" w:type="dxa"/>
            <w:vAlign w:val="center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06A0" w:rsidRPr="00B054FE" w:rsidTr="00E206A0">
        <w:trPr>
          <w:trHeight w:val="688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73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88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88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73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032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720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017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376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720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720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720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720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032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2737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116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376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032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73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376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376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73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1032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06A0" w:rsidRPr="00B054FE" w:rsidTr="00E206A0">
        <w:trPr>
          <w:trHeight w:val="688"/>
        </w:trPr>
        <w:tc>
          <w:tcPr>
            <w:tcW w:w="181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E206A0" w:rsidRPr="00B054FE" w:rsidRDefault="00E206A0" w:rsidP="00650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06A0" w:rsidRPr="00B054FE" w:rsidRDefault="00E206A0" w:rsidP="00650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9- DO PAGAMENTO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Após a medição do período, emissão do empenho e respectiva nota fiscal devidamente atestada pelo departamento requisitante, certidões negativas de débitos atualizadas, a Prefeitura efetuará o pagamento em até 30 (trinta) dias. 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>10- DAS OBRIGAÇÕES DA CONTRATANTE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Cs/>
          <w:sz w:val="22"/>
          <w:szCs w:val="22"/>
        </w:rPr>
      </w:pPr>
      <w:r w:rsidRPr="00C25F1A">
        <w:rPr>
          <w:rFonts w:ascii="Arial" w:hAnsi="Arial" w:cs="Arial"/>
          <w:bCs/>
          <w:sz w:val="22"/>
          <w:szCs w:val="22"/>
        </w:rPr>
        <w:t>A Prefeitura Municipal de Ipuiuna/MG se obriga a efetuar os pagamentos devidos, na forma e condições ora estipuladas.</w:t>
      </w:r>
    </w:p>
    <w:p w:rsidR="00B054FE" w:rsidRPr="00C25F1A" w:rsidRDefault="00B054FE" w:rsidP="00B054FE">
      <w:pPr>
        <w:jc w:val="both"/>
        <w:rPr>
          <w:rFonts w:ascii="Arial" w:hAnsi="Arial" w:cs="Arial"/>
          <w:bCs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Prestar todos os esclarecimentos necessários para o fornecimento dos combustíveis (Gasolina, Álcool/Etanol, Diesel Comum </w:t>
      </w:r>
      <w:proofErr w:type="spellStart"/>
      <w:r w:rsidRPr="00C25F1A">
        <w:rPr>
          <w:rFonts w:ascii="Arial" w:hAnsi="Arial" w:cs="Arial"/>
          <w:sz w:val="22"/>
          <w:szCs w:val="22"/>
        </w:rPr>
        <w:t>S500</w:t>
      </w:r>
      <w:proofErr w:type="spellEnd"/>
      <w:r w:rsidRPr="00C25F1A">
        <w:rPr>
          <w:rFonts w:ascii="Arial" w:hAnsi="Arial" w:cs="Arial"/>
          <w:sz w:val="22"/>
          <w:szCs w:val="22"/>
        </w:rPr>
        <w:t xml:space="preserve"> e Diesel Comum </w:t>
      </w:r>
      <w:proofErr w:type="spellStart"/>
      <w:r w:rsidRPr="00C25F1A">
        <w:rPr>
          <w:rFonts w:ascii="Arial" w:hAnsi="Arial" w:cs="Arial"/>
          <w:sz w:val="22"/>
          <w:szCs w:val="22"/>
        </w:rPr>
        <w:t>S10</w:t>
      </w:r>
      <w:proofErr w:type="spellEnd"/>
      <w:r w:rsidRPr="00C25F1A">
        <w:rPr>
          <w:rFonts w:ascii="Arial" w:hAnsi="Arial" w:cs="Arial"/>
          <w:sz w:val="22"/>
          <w:szCs w:val="22"/>
        </w:rPr>
        <w:t>).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Zelar pela boa qualidade do fornecimento, receber, apurar e solucionar queixas e reclamações, quando for o caso.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t xml:space="preserve">10- DAS OBRIGAÇÕES DA CONTRATADA 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Sob hipótese nenhuma poderá faltar, a qualquer dia e hora, combustível para abastecimento, obrigando a contratada fornecer produtos superiores sem ônus para o Município até que sejam restabelecidos os produtos licitados.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A contratada se obrigará a abastecer todos os veículos da frota municipal mediante emissão de nota ou documento de controle assinado pelo condutor do veículo, devidamente assinado pelo responsável ou seu preposto por ele indicado.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A contratada deverá dispor de pessoal suficiente para satisfatório abastecimento dos veículos, todos os dias da semana, mantendo para esse fim, funcionário de plantão, inclusive aos domingos e feriados.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>O descumprimento pela contratada, das obrigações assumidas, sem prejuízo das sansões legais, implicará em multa de 10% (dez por cento), sob o valor da fatura anterior.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Ocorrendo o realinhamento dos preços autorizados pelo Ministério de Minas e Energia, através da Agência Nacional do Petróleo – ANP, ou outro órgão regulador governamental devidamente comprovado em requerimento acrescentados pela contratada, acompanhada das respectivas planilhas de custos e tabelas oficiais (portaria, resolução, decreto, ato, </w:t>
      </w:r>
      <w:proofErr w:type="spellStart"/>
      <w:r w:rsidRPr="00C25F1A">
        <w:rPr>
          <w:rFonts w:ascii="Arial" w:hAnsi="Arial" w:cs="Arial"/>
          <w:sz w:val="22"/>
          <w:szCs w:val="22"/>
        </w:rPr>
        <w:t>CONTEP</w:t>
      </w:r>
      <w:proofErr w:type="spellEnd"/>
      <w:r w:rsidRPr="00C25F1A">
        <w:rPr>
          <w:rFonts w:ascii="Arial" w:hAnsi="Arial" w:cs="Arial"/>
          <w:sz w:val="22"/>
          <w:szCs w:val="22"/>
        </w:rPr>
        <w:t>/</w:t>
      </w:r>
      <w:proofErr w:type="spellStart"/>
      <w:r w:rsidRPr="00C25F1A">
        <w:rPr>
          <w:rFonts w:ascii="Arial" w:hAnsi="Arial" w:cs="Arial"/>
          <w:sz w:val="22"/>
          <w:szCs w:val="22"/>
        </w:rPr>
        <w:t>COMFAZ</w:t>
      </w:r>
      <w:proofErr w:type="spellEnd"/>
      <w:r w:rsidRPr="00C25F1A">
        <w:rPr>
          <w:rFonts w:ascii="Arial" w:hAnsi="Arial" w:cs="Arial"/>
          <w:sz w:val="22"/>
          <w:szCs w:val="22"/>
        </w:rPr>
        <w:t xml:space="preserve">), e após parecer favorável da Comissão de Revisão de Preços da Prefeitura Municipal de Ipuiuna/MG. Os preços poderão ser realinhados no mesmo percentual do aumento determinado, aplicando-se proporcionalmente os descontos oferecidos pela contratada quando da sua melhor proposta oferecida no pleito licitatório. </w:t>
      </w:r>
    </w:p>
    <w:p w:rsidR="00B054FE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  <w:r w:rsidRPr="00C25F1A">
        <w:rPr>
          <w:rFonts w:ascii="Arial" w:hAnsi="Arial" w:cs="Arial"/>
          <w:b/>
          <w:sz w:val="22"/>
          <w:szCs w:val="22"/>
        </w:rPr>
        <w:lastRenderedPageBreak/>
        <w:t xml:space="preserve">9- DO </w:t>
      </w:r>
      <w:r w:rsidR="00E206A0" w:rsidRPr="00C25F1A">
        <w:rPr>
          <w:rFonts w:ascii="Arial" w:hAnsi="Arial" w:cs="Arial"/>
          <w:b/>
          <w:sz w:val="22"/>
          <w:szCs w:val="22"/>
        </w:rPr>
        <w:t>CRITÉRIO</w:t>
      </w:r>
      <w:r w:rsidRPr="00C25F1A">
        <w:rPr>
          <w:rFonts w:ascii="Arial" w:hAnsi="Arial" w:cs="Arial"/>
          <w:b/>
          <w:sz w:val="22"/>
          <w:szCs w:val="22"/>
        </w:rPr>
        <w:t xml:space="preserve"> DE JULGAMENTO</w:t>
      </w: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A presente licitação é do tipo </w:t>
      </w:r>
      <w:r w:rsidRPr="00C25F1A">
        <w:rPr>
          <w:rFonts w:ascii="Arial" w:hAnsi="Arial" w:cs="Arial"/>
          <w:b/>
          <w:sz w:val="22"/>
          <w:szCs w:val="22"/>
        </w:rPr>
        <w:t xml:space="preserve">menor preço </w:t>
      </w:r>
      <w:r w:rsidRPr="00C25F1A">
        <w:rPr>
          <w:rFonts w:ascii="Arial" w:hAnsi="Arial" w:cs="Arial"/>
          <w:sz w:val="22"/>
          <w:szCs w:val="22"/>
        </w:rPr>
        <w:t>sendo que o julgamento das propostas será realizado tendo em vista o menor preço (por litro):</w:t>
      </w: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5"/>
        <w:gridCol w:w="1214"/>
        <w:gridCol w:w="1054"/>
        <w:gridCol w:w="1345"/>
        <w:gridCol w:w="1498"/>
        <w:gridCol w:w="2142"/>
      </w:tblGrid>
      <w:tr w:rsidR="00B054FE" w:rsidRPr="00B054FE" w:rsidTr="00E206A0">
        <w:trPr>
          <w:trHeight w:val="860"/>
          <w:jc w:val="center"/>
        </w:trPr>
        <w:tc>
          <w:tcPr>
            <w:tcW w:w="444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14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 xml:space="preserve">QUANTIDADE ESTIMADA </w:t>
            </w:r>
          </w:p>
        </w:tc>
        <w:tc>
          <w:tcPr>
            <w:tcW w:w="1054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345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MÉDIA DE VALOR</w:t>
            </w:r>
          </w:p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REGIÃO (POR LITRO)</w:t>
            </w:r>
          </w:p>
        </w:tc>
        <w:tc>
          <w:tcPr>
            <w:tcW w:w="1498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PREÇO MÁXIMO P/ CONTRATAÇÃO</w:t>
            </w:r>
          </w:p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(POR LITRO)</w:t>
            </w:r>
          </w:p>
        </w:tc>
        <w:tc>
          <w:tcPr>
            <w:tcW w:w="2142" w:type="dxa"/>
          </w:tcPr>
          <w:p w:rsidR="00B054FE" w:rsidRPr="00E206A0" w:rsidRDefault="00B054FE" w:rsidP="00650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6A0">
              <w:rPr>
                <w:rFonts w:ascii="Arial" w:hAnsi="Arial" w:cs="Arial"/>
                <w:b/>
                <w:sz w:val="18"/>
                <w:szCs w:val="18"/>
              </w:rPr>
              <w:t>MÉDIA DE VALOR MÁXIMO P/ REGISTRO DE PREÇOS R$</w:t>
            </w:r>
          </w:p>
        </w:tc>
      </w:tr>
      <w:tr w:rsidR="00E206A0" w:rsidRPr="00B054FE" w:rsidTr="00E206A0">
        <w:trPr>
          <w:trHeight w:val="236"/>
          <w:jc w:val="center"/>
        </w:trPr>
        <w:tc>
          <w:tcPr>
            <w:tcW w:w="444" w:type="dxa"/>
          </w:tcPr>
          <w:p w:rsidR="00E206A0" w:rsidRPr="00B054FE" w:rsidRDefault="00E206A0" w:rsidP="00E20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Gasolina Comum</w:t>
            </w:r>
          </w:p>
        </w:tc>
        <w:tc>
          <w:tcPr>
            <w:tcW w:w="1214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54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45" w:type="dxa"/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R$ 5,30</w:t>
            </w:r>
          </w:p>
        </w:tc>
        <w:tc>
          <w:tcPr>
            <w:tcW w:w="1498" w:type="dxa"/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R$ 5,44</w:t>
            </w:r>
          </w:p>
        </w:tc>
        <w:tc>
          <w:tcPr>
            <w:tcW w:w="2142" w:type="dxa"/>
            <w:vAlign w:val="bottom"/>
          </w:tcPr>
          <w:p w:rsidR="00E206A0" w:rsidRPr="00E206A0" w:rsidRDefault="00E206A0" w:rsidP="00E206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A0">
              <w:rPr>
                <w:rFonts w:ascii="Arial" w:hAnsi="Arial" w:cs="Arial"/>
                <w:color w:val="000000"/>
                <w:sz w:val="20"/>
                <w:szCs w:val="20"/>
              </w:rPr>
              <w:t>R$ 652.800,00</w:t>
            </w:r>
          </w:p>
        </w:tc>
      </w:tr>
      <w:tr w:rsidR="00E206A0" w:rsidRPr="00B054FE" w:rsidTr="00E206A0">
        <w:trPr>
          <w:trHeight w:val="236"/>
          <w:jc w:val="center"/>
        </w:trPr>
        <w:tc>
          <w:tcPr>
            <w:tcW w:w="444" w:type="dxa"/>
          </w:tcPr>
          <w:p w:rsidR="00E206A0" w:rsidRPr="00B054FE" w:rsidRDefault="00E206A0" w:rsidP="00E20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 xml:space="preserve">Gasolina </w:t>
            </w:r>
            <w:proofErr w:type="spellStart"/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>Aditivida</w:t>
            </w:r>
            <w:proofErr w:type="spellEnd"/>
          </w:p>
        </w:tc>
        <w:tc>
          <w:tcPr>
            <w:tcW w:w="1214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54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45" w:type="dxa"/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R$ 5,56</w:t>
            </w:r>
          </w:p>
        </w:tc>
        <w:tc>
          <w:tcPr>
            <w:tcW w:w="1498" w:type="dxa"/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R$ 5,66</w:t>
            </w:r>
          </w:p>
        </w:tc>
        <w:tc>
          <w:tcPr>
            <w:tcW w:w="2142" w:type="dxa"/>
            <w:vAlign w:val="bottom"/>
          </w:tcPr>
          <w:p w:rsidR="00E206A0" w:rsidRPr="00E206A0" w:rsidRDefault="00E206A0" w:rsidP="00E206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A0">
              <w:rPr>
                <w:rFonts w:ascii="Arial" w:hAnsi="Arial" w:cs="Arial"/>
                <w:color w:val="000000"/>
                <w:sz w:val="20"/>
                <w:szCs w:val="20"/>
              </w:rPr>
              <w:t>R$ 679.200,00</w:t>
            </w:r>
          </w:p>
        </w:tc>
      </w:tr>
      <w:tr w:rsidR="00E206A0" w:rsidRPr="00B054FE" w:rsidTr="00E206A0">
        <w:trPr>
          <w:trHeight w:val="236"/>
          <w:jc w:val="center"/>
        </w:trPr>
        <w:tc>
          <w:tcPr>
            <w:tcW w:w="444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 xml:space="preserve">Álcool/Etanol </w:t>
            </w:r>
          </w:p>
        </w:tc>
        <w:tc>
          <w:tcPr>
            <w:tcW w:w="1214" w:type="dxa"/>
          </w:tcPr>
          <w:p w:rsidR="00E206A0" w:rsidRPr="00B054FE" w:rsidRDefault="00E206A0" w:rsidP="00E20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054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45" w:type="dxa"/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R$ 3,46</w:t>
            </w:r>
          </w:p>
        </w:tc>
        <w:tc>
          <w:tcPr>
            <w:tcW w:w="1498" w:type="dxa"/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R$ 3,39</w:t>
            </w:r>
          </w:p>
        </w:tc>
        <w:tc>
          <w:tcPr>
            <w:tcW w:w="2142" w:type="dxa"/>
            <w:vAlign w:val="bottom"/>
          </w:tcPr>
          <w:p w:rsidR="00E206A0" w:rsidRPr="00E206A0" w:rsidRDefault="00E206A0" w:rsidP="00E206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A0">
              <w:rPr>
                <w:rFonts w:ascii="Arial" w:hAnsi="Arial" w:cs="Arial"/>
                <w:color w:val="000000"/>
                <w:sz w:val="20"/>
                <w:szCs w:val="20"/>
              </w:rPr>
              <w:t>R$ 33.900,00</w:t>
            </w:r>
          </w:p>
        </w:tc>
      </w:tr>
      <w:tr w:rsidR="00E206A0" w:rsidRPr="00B054FE" w:rsidTr="00E20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>S500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R$ 5,87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R$ 5,75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6A0" w:rsidRPr="00E206A0" w:rsidRDefault="00E206A0" w:rsidP="00E206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A0">
              <w:rPr>
                <w:rFonts w:ascii="Arial" w:hAnsi="Arial" w:cs="Arial"/>
                <w:color w:val="000000"/>
                <w:sz w:val="20"/>
                <w:szCs w:val="20"/>
              </w:rPr>
              <w:t>R$ 1.437.500,00</w:t>
            </w:r>
          </w:p>
        </w:tc>
      </w:tr>
      <w:tr w:rsidR="00E206A0" w:rsidRPr="00B054FE" w:rsidTr="00E206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color w:val="000000"/>
                <w:sz w:val="20"/>
                <w:szCs w:val="20"/>
              </w:rPr>
              <w:t>S10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R$ 5,90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R$ 5,88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6A0" w:rsidRPr="00E206A0" w:rsidRDefault="00E206A0" w:rsidP="00E206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6A0">
              <w:rPr>
                <w:rFonts w:ascii="Arial" w:hAnsi="Arial" w:cs="Arial"/>
                <w:color w:val="000000"/>
                <w:sz w:val="20"/>
                <w:szCs w:val="20"/>
              </w:rPr>
              <w:t>R$ 882.000,00</w:t>
            </w:r>
          </w:p>
        </w:tc>
      </w:tr>
      <w:tr w:rsidR="00E206A0" w:rsidRPr="00B054FE" w:rsidTr="00650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6A0" w:rsidRPr="00B054FE" w:rsidRDefault="00E206A0" w:rsidP="00E206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 xml:space="preserve">TOTAL ESTIMADO PARA REGISTRO DE PREÇOS: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06A0">
              <w:rPr>
                <w:rFonts w:ascii="Arial" w:hAnsi="Arial" w:cs="Arial"/>
                <w:b/>
                <w:sz w:val="20"/>
                <w:szCs w:val="20"/>
              </w:rPr>
              <w:t xml:space="preserve">R$ 3.685.400,00 </w:t>
            </w:r>
            <w:r w:rsidRPr="00B054FE">
              <w:rPr>
                <w:rFonts w:ascii="Arial" w:hAnsi="Arial" w:cs="Arial"/>
                <w:b/>
                <w:sz w:val="20"/>
                <w:szCs w:val="20"/>
              </w:rPr>
              <w:t xml:space="preserve">(três milhões,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seiscentos e oitenta e cinco mil e quatrocentos </w:t>
            </w:r>
            <w:r w:rsidRPr="00B054FE">
              <w:rPr>
                <w:rFonts w:ascii="Arial" w:hAnsi="Arial" w:cs="Arial"/>
                <w:b/>
                <w:sz w:val="20"/>
                <w:szCs w:val="20"/>
              </w:rPr>
              <w:t>reais).</w:t>
            </w:r>
          </w:p>
        </w:tc>
      </w:tr>
    </w:tbl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* (valores referentes ao mês de </w:t>
      </w:r>
      <w:r w:rsidRPr="00C25F1A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</w:t>
      </w:r>
      <w:r w:rsidR="00E206A0">
        <w:rPr>
          <w:rFonts w:ascii="Arial" w:hAnsi="Arial" w:cs="Arial"/>
          <w:b/>
          <w:sz w:val="22"/>
          <w:szCs w:val="22"/>
        </w:rPr>
        <w:t>4 (31</w:t>
      </w:r>
      <w:r>
        <w:rPr>
          <w:rFonts w:ascii="Arial" w:hAnsi="Arial" w:cs="Arial"/>
          <w:b/>
          <w:sz w:val="22"/>
          <w:szCs w:val="22"/>
        </w:rPr>
        <w:t>/</w:t>
      </w:r>
      <w:r w:rsidR="00E206A0">
        <w:rPr>
          <w:rFonts w:ascii="Arial" w:hAnsi="Arial" w:cs="Arial"/>
          <w:b/>
          <w:sz w:val="22"/>
          <w:szCs w:val="22"/>
        </w:rPr>
        <w:t>12/23 à 06</w:t>
      </w:r>
      <w:r>
        <w:rPr>
          <w:rFonts w:ascii="Arial" w:hAnsi="Arial" w:cs="Arial"/>
          <w:b/>
          <w:sz w:val="22"/>
          <w:szCs w:val="22"/>
        </w:rPr>
        <w:t>/01/2</w:t>
      </w:r>
      <w:r w:rsidR="00E206A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 w:rsidRPr="00C25F1A">
        <w:rPr>
          <w:rFonts w:ascii="Arial" w:hAnsi="Arial" w:cs="Arial"/>
          <w:sz w:val="22"/>
          <w:szCs w:val="22"/>
        </w:rPr>
        <w:t xml:space="preserve">, conforme levantamento de preços da Agência Nacional do Petróleo – ANP, </w:t>
      </w:r>
      <w:r w:rsidRPr="00C25F1A">
        <w:rPr>
          <w:rFonts w:ascii="Arial" w:hAnsi="Arial" w:cs="Arial"/>
          <w:sz w:val="22"/>
          <w:szCs w:val="22"/>
          <w:u w:val="single"/>
        </w:rPr>
        <w:t>PREÇO AO CONSUMIDOR – preço médio</w:t>
      </w:r>
      <w:r w:rsidRPr="00C25F1A">
        <w:rPr>
          <w:rFonts w:ascii="Arial" w:hAnsi="Arial" w:cs="Arial"/>
          <w:sz w:val="22"/>
          <w:szCs w:val="22"/>
        </w:rPr>
        <w:t xml:space="preserve">, obtido no site </w:t>
      </w:r>
      <w:hyperlink r:id="rId14" w:history="1">
        <w:proofErr w:type="spellStart"/>
        <w:r w:rsidRPr="00C25F1A">
          <w:rPr>
            <w:rStyle w:val="Hyperlink"/>
            <w:rFonts w:ascii="Arial" w:hAnsi="Arial" w:cs="Arial"/>
            <w:sz w:val="22"/>
            <w:szCs w:val="22"/>
          </w:rPr>
          <w:t>www.anp.gov.br</w:t>
        </w:r>
        <w:proofErr w:type="spellEnd"/>
      </w:hyperlink>
      <w:r w:rsidRPr="00C25F1A">
        <w:rPr>
          <w:rFonts w:ascii="Arial" w:hAnsi="Arial" w:cs="Arial"/>
          <w:sz w:val="22"/>
          <w:szCs w:val="22"/>
        </w:rPr>
        <w:t xml:space="preserve">), e preço médio praticado no Município de Ipuiuna/MG. </w:t>
      </w:r>
    </w:p>
    <w:p w:rsidR="00B054FE" w:rsidRPr="00C25F1A" w:rsidRDefault="00B054FE" w:rsidP="00B054FE">
      <w:pPr>
        <w:jc w:val="both"/>
        <w:rPr>
          <w:rFonts w:ascii="Arial" w:hAnsi="Arial" w:cs="Arial"/>
          <w:b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C25F1A">
        <w:rPr>
          <w:rFonts w:ascii="Arial" w:hAnsi="Arial" w:cs="Arial"/>
          <w:sz w:val="22"/>
          <w:szCs w:val="22"/>
        </w:rPr>
        <w:t xml:space="preserve">Quaisquer tributos, custos e despesas diretos ou indiretos incorretamente cotados ou omitidos da proposta de preços serão considerados como inclusos nos preços, sendo considerados pleitos de acréscimos, a esse ou qualquer título.  </w:t>
      </w: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  <w:r w:rsidRPr="00BF6954">
        <w:rPr>
          <w:rFonts w:ascii="Arial" w:hAnsi="Arial" w:cs="Arial"/>
          <w:sz w:val="22"/>
          <w:szCs w:val="22"/>
        </w:rPr>
        <w:t xml:space="preserve">Ipuiuna/MG, aos </w:t>
      </w:r>
      <w:r w:rsidR="00E206A0">
        <w:rPr>
          <w:rFonts w:ascii="Arial" w:hAnsi="Arial" w:cs="Arial"/>
          <w:sz w:val="22"/>
          <w:szCs w:val="22"/>
        </w:rPr>
        <w:t>10 de Janeiro de 2024</w:t>
      </w:r>
      <w:r w:rsidRPr="00BF69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both"/>
        <w:rPr>
          <w:rFonts w:ascii="Arial" w:hAnsi="Arial" w:cs="Arial"/>
          <w:sz w:val="22"/>
          <w:szCs w:val="22"/>
        </w:rPr>
      </w:pPr>
    </w:p>
    <w:p w:rsidR="00B054FE" w:rsidRPr="00C25F1A" w:rsidRDefault="00B054FE" w:rsidP="00B054FE">
      <w:pPr>
        <w:jc w:val="center"/>
        <w:rPr>
          <w:rFonts w:ascii="Arial" w:hAnsi="Arial" w:cs="Arial"/>
          <w:b/>
          <w:sz w:val="22"/>
          <w:szCs w:val="22"/>
        </w:rPr>
      </w:pPr>
    </w:p>
    <w:p w:rsidR="00B054FE" w:rsidRPr="001D37AB" w:rsidRDefault="00B054FE" w:rsidP="00B054FE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1D37AB">
        <w:rPr>
          <w:rFonts w:ascii="Arial" w:eastAsia="Calibri" w:hAnsi="Arial" w:cs="Arial"/>
          <w:b/>
          <w:bCs/>
          <w:sz w:val="22"/>
          <w:szCs w:val="22"/>
        </w:rPr>
        <w:t>Wagner de Souza</w:t>
      </w:r>
    </w:p>
    <w:p w:rsidR="00B054FE" w:rsidRPr="001D37AB" w:rsidRDefault="00B054FE" w:rsidP="00B054FE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1D37AB">
        <w:rPr>
          <w:rFonts w:ascii="Arial" w:eastAsia="Calibri" w:hAnsi="Arial" w:cs="Arial"/>
          <w:bCs/>
          <w:sz w:val="22"/>
          <w:szCs w:val="22"/>
        </w:rPr>
        <w:t>Chefe de Gabinete</w:t>
      </w:r>
    </w:p>
    <w:p w:rsidR="00B054FE" w:rsidRPr="001D37AB" w:rsidRDefault="00B054FE" w:rsidP="00B054FE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:rsidR="00B054FE" w:rsidRPr="001D37AB" w:rsidRDefault="00B054FE" w:rsidP="00B054FE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:rsidR="00B054FE" w:rsidRPr="001D37AB" w:rsidRDefault="00B054FE" w:rsidP="00B054FE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</w:p>
    <w:p w:rsidR="00B054FE" w:rsidRPr="001D37AB" w:rsidRDefault="00B054FE" w:rsidP="00B054FE">
      <w:pPr>
        <w:jc w:val="center"/>
        <w:rPr>
          <w:rFonts w:ascii="Arial" w:hAnsi="Arial" w:cs="Arial"/>
          <w:b/>
          <w:sz w:val="22"/>
          <w:szCs w:val="22"/>
        </w:rPr>
      </w:pPr>
      <w:r w:rsidRPr="001D37AB">
        <w:rPr>
          <w:rFonts w:ascii="Arial" w:hAnsi="Arial" w:cs="Arial"/>
          <w:b/>
          <w:sz w:val="22"/>
          <w:szCs w:val="22"/>
        </w:rPr>
        <w:t>Elder Cassio de Souza Oliva</w:t>
      </w:r>
    </w:p>
    <w:p w:rsidR="00B054FE" w:rsidRPr="001D37AB" w:rsidRDefault="00B054FE" w:rsidP="00B054FE">
      <w:pPr>
        <w:jc w:val="center"/>
        <w:rPr>
          <w:rFonts w:ascii="Arial" w:hAnsi="Arial" w:cs="Arial"/>
          <w:sz w:val="22"/>
          <w:szCs w:val="22"/>
        </w:rPr>
      </w:pPr>
      <w:r w:rsidRPr="001D37AB">
        <w:rPr>
          <w:rFonts w:ascii="Arial" w:hAnsi="Arial" w:cs="Arial"/>
          <w:sz w:val="22"/>
          <w:szCs w:val="22"/>
        </w:rPr>
        <w:t>Prefeito Municipal</w:t>
      </w:r>
    </w:p>
    <w:p w:rsidR="00B054FE" w:rsidRPr="003603F4" w:rsidRDefault="00B054FE" w:rsidP="00B054FE"/>
    <w:p w:rsidR="00BD10AC" w:rsidRPr="00FD39F4" w:rsidRDefault="00BD10AC" w:rsidP="00BD10AC">
      <w:pPr>
        <w:jc w:val="center"/>
        <w:rPr>
          <w:rFonts w:ascii="Arial" w:hAnsi="Arial" w:cs="Arial"/>
          <w:sz w:val="22"/>
          <w:szCs w:val="22"/>
        </w:rPr>
      </w:pPr>
    </w:p>
    <w:p w:rsidR="00112166" w:rsidRDefault="00112166" w:rsidP="00112166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C97A3C" w:rsidRDefault="00607BB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69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47283E">
        <w:rPr>
          <w:rFonts w:ascii="Arial" w:hAnsi="Arial" w:cs="Arial"/>
          <w:b/>
          <w:bCs/>
          <w:sz w:val="22"/>
          <w:szCs w:val="22"/>
        </w:rPr>
        <w:t>01/2024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a </w:t>
      </w:r>
      <w:r w:rsidR="00BF0243"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87" w:type="dxa"/>
        <w:jc w:val="center"/>
        <w:tblLook w:val="04A0" w:firstRow="1" w:lastRow="0" w:firstColumn="1" w:lastColumn="0" w:noHBand="0" w:noVBand="1"/>
      </w:tblPr>
      <w:tblGrid>
        <w:gridCol w:w="677"/>
        <w:gridCol w:w="1445"/>
        <w:gridCol w:w="1098"/>
        <w:gridCol w:w="2191"/>
        <w:gridCol w:w="1193"/>
        <w:gridCol w:w="1292"/>
        <w:gridCol w:w="1291"/>
      </w:tblGrid>
      <w:tr w:rsidR="00B054FE" w:rsidRPr="00B054FE" w:rsidTr="00B054FE">
        <w:trPr>
          <w:trHeight w:val="1192"/>
          <w:jc w:val="center"/>
        </w:trPr>
        <w:tc>
          <w:tcPr>
            <w:tcW w:w="677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098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191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93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291" w:type="dxa"/>
            <w:shd w:val="clear" w:color="auto" w:fill="808080" w:themeFill="background1" w:themeFillShade="80"/>
          </w:tcPr>
          <w:p w:rsidR="00B054FE" w:rsidRPr="00B054FE" w:rsidRDefault="00B054FE" w:rsidP="00650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E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E206A0" w:rsidRPr="00B054FE" w:rsidTr="00B054FE">
        <w:trPr>
          <w:trHeight w:val="596"/>
          <w:jc w:val="center"/>
        </w:trPr>
        <w:tc>
          <w:tcPr>
            <w:tcW w:w="677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98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Gasolina Comum</w:t>
            </w:r>
          </w:p>
        </w:tc>
        <w:tc>
          <w:tcPr>
            <w:tcW w:w="1193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6A0" w:rsidRPr="00B054FE" w:rsidTr="00B054FE">
        <w:trPr>
          <w:trHeight w:val="596"/>
          <w:jc w:val="center"/>
        </w:trPr>
        <w:tc>
          <w:tcPr>
            <w:tcW w:w="677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98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Gasolina </w:t>
            </w:r>
            <w:r>
              <w:rPr>
                <w:rFonts w:ascii="Arial" w:hAnsi="Arial" w:cs="Arial"/>
                <w:sz w:val="20"/>
                <w:szCs w:val="20"/>
              </w:rPr>
              <w:t>Aditivada</w:t>
            </w:r>
          </w:p>
        </w:tc>
        <w:tc>
          <w:tcPr>
            <w:tcW w:w="1193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6A0" w:rsidRPr="00B054FE" w:rsidTr="00B054FE">
        <w:trPr>
          <w:trHeight w:val="596"/>
          <w:jc w:val="center"/>
        </w:trPr>
        <w:tc>
          <w:tcPr>
            <w:tcW w:w="677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54FE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098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Álcool/Etanol </w:t>
            </w:r>
          </w:p>
        </w:tc>
        <w:tc>
          <w:tcPr>
            <w:tcW w:w="1193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6A0" w:rsidRPr="00B054FE" w:rsidTr="00B054FE">
        <w:trPr>
          <w:trHeight w:val="596"/>
          <w:jc w:val="center"/>
        </w:trPr>
        <w:tc>
          <w:tcPr>
            <w:tcW w:w="677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098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S500</w:t>
            </w:r>
            <w:proofErr w:type="spellEnd"/>
          </w:p>
        </w:tc>
        <w:tc>
          <w:tcPr>
            <w:tcW w:w="1193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6A0" w:rsidRPr="00B054FE" w:rsidTr="00B054FE">
        <w:trPr>
          <w:trHeight w:val="610"/>
          <w:jc w:val="center"/>
        </w:trPr>
        <w:tc>
          <w:tcPr>
            <w:tcW w:w="677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45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098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21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FE">
              <w:rPr>
                <w:rFonts w:ascii="Arial" w:hAnsi="Arial" w:cs="Arial"/>
                <w:sz w:val="20"/>
                <w:szCs w:val="20"/>
              </w:rPr>
              <w:t xml:space="preserve">Diesel Comum </w:t>
            </w:r>
            <w:proofErr w:type="spellStart"/>
            <w:r w:rsidRPr="00B054FE">
              <w:rPr>
                <w:rFonts w:ascii="Arial" w:hAnsi="Arial" w:cs="Arial"/>
                <w:sz w:val="20"/>
                <w:szCs w:val="20"/>
              </w:rPr>
              <w:t>S10</w:t>
            </w:r>
            <w:proofErr w:type="spellEnd"/>
          </w:p>
        </w:tc>
        <w:tc>
          <w:tcPr>
            <w:tcW w:w="1193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E206A0" w:rsidRPr="00B054FE" w:rsidRDefault="00E206A0" w:rsidP="00E2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D9C" w:rsidRPr="009614F0" w:rsidRDefault="004D0D9C" w:rsidP="004D0D9C">
      <w:pPr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47283E">
        <w:rPr>
          <w:rFonts w:ascii="Arial" w:hAnsi="Arial" w:cs="Arial"/>
          <w:sz w:val="22"/>
          <w:szCs w:val="22"/>
        </w:rPr>
        <w:t>01/2024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Nos preços propostos estão inclusos todos os impostos, taxas, fretes, e todas as </w:t>
      </w:r>
      <w:r w:rsidRPr="000D7636">
        <w:rPr>
          <w:rFonts w:ascii="Arial" w:hAnsi="Arial" w:cs="Arial"/>
          <w:sz w:val="22"/>
          <w:szCs w:val="22"/>
        </w:rPr>
        <w:lastRenderedPageBreak/>
        <w:t>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art. 299 do Código Penal, que teremos a disponibilidade 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22DB6" w:rsidRPr="00DD79AD" w:rsidRDefault="00C22DB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664C6A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47283E">
        <w:rPr>
          <w:rFonts w:ascii="Arial" w:hAnsi="Arial" w:cs="Arial"/>
          <w:b/>
          <w:bCs/>
          <w:sz w:val="22"/>
          <w:szCs w:val="22"/>
        </w:rPr>
        <w:t>01/2024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47283E">
        <w:rPr>
          <w:rFonts w:ascii="Arial" w:hAnsi="Arial" w:cs="Arial"/>
          <w:sz w:val="22"/>
          <w:szCs w:val="22"/>
        </w:rPr>
        <w:t>01/2024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</w:t>
      </w:r>
      <w:proofErr w:type="gramStart"/>
      <w:r w:rsidRPr="00537C5C">
        <w:rPr>
          <w:rFonts w:ascii="Arial" w:hAnsi="Arial" w:cs="Arial"/>
          <w:sz w:val="22"/>
          <w:szCs w:val="22"/>
        </w:rPr>
        <w:t>localidade</w:t>
      </w:r>
      <w:proofErr w:type="gramEnd"/>
      <w:r w:rsidRPr="00537C5C">
        <w:rPr>
          <w:rFonts w:ascii="Arial" w:hAnsi="Arial" w:cs="Arial"/>
          <w:sz w:val="22"/>
          <w:szCs w:val="22"/>
        </w:rPr>
        <w:t>)_______,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537C5C">
        <w:rPr>
          <w:rFonts w:ascii="Arial" w:hAnsi="Arial" w:cs="Arial"/>
          <w:sz w:val="22"/>
          <w:szCs w:val="22"/>
        </w:rPr>
        <w:t>N.°</w:t>
      </w:r>
      <w:proofErr w:type="spellEnd"/>
      <w:r w:rsidRPr="00537C5C">
        <w:rPr>
          <w:rFonts w:ascii="Arial" w:hAnsi="Arial" w:cs="Arial"/>
          <w:sz w:val="22"/>
          <w:szCs w:val="22"/>
        </w:rPr>
        <w:t xml:space="preserve">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 </w:t>
      </w:r>
      <w:proofErr w:type="gramStart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e</w:t>
      </w:r>
      <w:proofErr w:type="gramEnd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>Pregão Eletrônico n° 01/2024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</w:t>
      </w:r>
      <w:proofErr w:type="gramStart"/>
      <w:r w:rsidRPr="00642FD4">
        <w:rPr>
          <w:rFonts w:ascii="Arial" w:hAnsi="Arial" w:cs="Arial"/>
          <w:sz w:val="22"/>
          <w:szCs w:val="22"/>
        </w:rPr>
        <w:t>quatorze</w:t>
      </w:r>
      <w:proofErr w:type="gramEnd"/>
      <w:r w:rsidRPr="00642FD4">
        <w:rPr>
          <w:rFonts w:ascii="Arial" w:hAnsi="Arial" w:cs="Arial"/>
          <w:sz w:val="22"/>
          <w:szCs w:val="22"/>
        </w:rPr>
        <w:t xml:space="preserve">) anos, na condição de aprendiz, nos termos do inciso </w:t>
      </w:r>
      <w:proofErr w:type="spellStart"/>
      <w:r w:rsidRPr="00642FD4">
        <w:rPr>
          <w:rFonts w:ascii="Arial" w:hAnsi="Arial" w:cs="Arial"/>
          <w:sz w:val="22"/>
          <w:szCs w:val="22"/>
        </w:rPr>
        <w:t>XXXIII</w:t>
      </w:r>
      <w:proofErr w:type="spellEnd"/>
      <w:r w:rsidRPr="00642FD4">
        <w:rPr>
          <w:rFonts w:ascii="Arial" w:hAnsi="Arial" w:cs="Arial"/>
          <w:sz w:val="22"/>
          <w:szCs w:val="22"/>
        </w:rPr>
        <w:t>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 xml:space="preserve">degradante ou forçado, observando o disposto nos incisos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42FD4">
        <w:rPr>
          <w:rFonts w:ascii="Arial" w:hAnsi="Arial" w:cs="Arial"/>
          <w:sz w:val="22"/>
          <w:szCs w:val="22"/>
        </w:rPr>
        <w:t>IV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 art. 1º e no inciso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local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representante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V</w:t>
      </w:r>
    </w:p>
    <w:p w:rsidR="001921AE" w:rsidRPr="001921AE" w:rsidRDefault="001921AE" w:rsidP="001921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DAA" w:rsidRDefault="00175DAA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75C0" w:rsidRPr="00175DAA" w:rsidRDefault="004975C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47283E">
        <w:rPr>
          <w:rFonts w:ascii="Arial" w:hAnsi="Arial" w:cs="Arial"/>
          <w:b/>
          <w:bCs/>
          <w:sz w:val="22"/>
          <w:szCs w:val="22"/>
        </w:rPr>
        <w:t>01/2024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47283E">
        <w:rPr>
          <w:rFonts w:ascii="Arial" w:hAnsi="Arial" w:cs="Arial"/>
          <w:b/>
          <w:bCs/>
          <w:sz w:val="22"/>
          <w:szCs w:val="22"/>
        </w:rPr>
        <w:t>06/2024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BF0243"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F555CF" w:rsidRPr="00E0079B" w:rsidTr="00F555CF">
        <w:trPr>
          <w:trHeight w:val="344"/>
        </w:trPr>
        <w:tc>
          <w:tcPr>
            <w:tcW w:w="1818" w:type="dxa"/>
            <w:vAlign w:val="center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4335" w:type="dxa"/>
            <w:vAlign w:val="center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17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720"/>
        </w:trPr>
        <w:tc>
          <w:tcPr>
            <w:tcW w:w="1818" w:type="dxa"/>
          </w:tcPr>
          <w:p w:rsidR="00F555CF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2737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11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376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dos Serviços de Estradas e Rodagens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73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1032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555CF" w:rsidRPr="00E0079B" w:rsidTr="00F555CF">
        <w:trPr>
          <w:trHeight w:val="688"/>
        </w:trPr>
        <w:tc>
          <w:tcPr>
            <w:tcW w:w="181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F555CF" w:rsidRPr="00230DFE" w:rsidRDefault="00F555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555CF" w:rsidRPr="00230DFE" w:rsidRDefault="00F555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/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R$.................................................(.................................................................................). </w:t>
      </w:r>
    </w:p>
    <w:p w:rsidR="004D5004" w:rsidRPr="00A00DAB" w:rsidRDefault="004D5004" w:rsidP="004D500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lastRenderedPageBreak/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 xml:space="preserve">.5 - Em qualquer hipótese e aplicação de sanções será assegurado à licitante </w:t>
      </w:r>
      <w:r w:rsidR="00F555CF" w:rsidRPr="00795A07">
        <w:rPr>
          <w:rFonts w:ascii="Arial" w:hAnsi="Arial" w:cs="Arial"/>
          <w:sz w:val="22"/>
          <w:szCs w:val="22"/>
        </w:rPr>
        <w:lastRenderedPageBreak/>
        <w:t>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</w:t>
      </w:r>
      <w:proofErr w:type="gramStart"/>
      <w:r w:rsidRPr="00ED6AD1">
        <w:rPr>
          <w:rFonts w:ascii="Arial" w:hAnsi="Arial" w:cs="Arial"/>
          <w:sz w:val="22"/>
          <w:szCs w:val="22"/>
        </w:rPr>
        <w:t>MG,............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ANEXO </w:t>
      </w:r>
      <w:proofErr w:type="spellStart"/>
      <w:r w:rsidR="00B054FE">
        <w:rPr>
          <w:rFonts w:ascii="Arial" w:hAnsi="Arial" w:cs="Arial"/>
          <w:b/>
          <w:bCs/>
          <w:sz w:val="22"/>
          <w:szCs w:val="22"/>
          <w:u w:val="single"/>
        </w:rPr>
        <w:t>VII</w:t>
      </w:r>
      <w:proofErr w:type="spellEnd"/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555CF">
        <w:rPr>
          <w:rFonts w:ascii="Arial" w:hAnsi="Arial" w:cs="Arial"/>
          <w:b/>
          <w:sz w:val="22"/>
          <w:szCs w:val="22"/>
        </w:rPr>
        <w:t>XX</w:t>
      </w:r>
      <w:proofErr w:type="spellEnd"/>
      <w:r w:rsidR="00F555CF">
        <w:rPr>
          <w:rFonts w:ascii="Arial" w:hAnsi="Arial" w:cs="Arial"/>
          <w:b/>
          <w:sz w:val="22"/>
          <w:szCs w:val="22"/>
        </w:rPr>
        <w:t>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47283E">
        <w:rPr>
          <w:rFonts w:ascii="Arial" w:hAnsi="Arial" w:cs="Arial"/>
          <w:b/>
          <w:bCs/>
          <w:sz w:val="22"/>
          <w:szCs w:val="22"/>
        </w:rPr>
        <w:t>01/2024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47283E">
        <w:rPr>
          <w:rFonts w:ascii="Arial" w:hAnsi="Arial" w:cs="Arial"/>
          <w:b/>
          <w:bCs/>
          <w:sz w:val="22"/>
          <w:szCs w:val="22"/>
        </w:rPr>
        <w:t>06/2024</w:t>
      </w:r>
      <w:bookmarkStart w:id="0" w:name="_GoBack"/>
      <w:bookmarkEnd w:id="0"/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BF0243">
        <w:rPr>
          <w:rFonts w:ascii="Arial" w:hAnsi="Arial" w:cs="Arial"/>
          <w:b/>
          <w:sz w:val="22"/>
          <w:szCs w:val="22"/>
        </w:rPr>
        <w:t>AQUISIÇÃO DE COMBUSTÍVEIS PARA OS VEÍCULOS DA FROTA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7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7967CF" w:rsidRPr="00E0079B" w:rsidTr="007967CF">
        <w:trPr>
          <w:trHeight w:val="344"/>
        </w:trPr>
        <w:tc>
          <w:tcPr>
            <w:tcW w:w="1818" w:type="dxa"/>
            <w:vAlign w:val="center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17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720"/>
        </w:trPr>
        <w:tc>
          <w:tcPr>
            <w:tcW w:w="1818" w:type="dxa"/>
          </w:tcPr>
          <w:p w:rsidR="007967CF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2737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11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376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dos Serviços de Estradas e Rodagens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73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1032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967CF" w:rsidRPr="00E0079B" w:rsidTr="007967CF">
        <w:trPr>
          <w:trHeight w:val="688"/>
        </w:trPr>
        <w:tc>
          <w:tcPr>
            <w:tcW w:w="181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7967CF" w:rsidRPr="00230DFE" w:rsidRDefault="007967CF" w:rsidP="00FC0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967CF" w:rsidRPr="00230DFE" w:rsidRDefault="007967CF" w:rsidP="00FC00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R$........................................... (.....................................).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 xml:space="preserve">não veracidade das informações prestadas, poderá acarretar,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lastRenderedPageBreak/>
        <w:t>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</w:t>
      </w:r>
      <w:proofErr w:type="gramStart"/>
      <w:r>
        <w:rPr>
          <w:rFonts w:ascii="Arial" w:hAnsi="Arial" w:cs="Arial"/>
          <w:sz w:val="22"/>
          <w:szCs w:val="22"/>
        </w:rPr>
        <w:t>MG</w:t>
      </w:r>
      <w:r w:rsidRPr="00A00DAB">
        <w:rPr>
          <w:rFonts w:ascii="Arial" w:hAnsi="Arial" w:cs="Arial"/>
          <w:sz w:val="22"/>
          <w:szCs w:val="22"/>
        </w:rPr>
        <w:t>,............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.......................................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8725CD" w:rsidRDefault="004D5004" w:rsidP="004D5004"/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Default="004D5004" w:rsidP="004D5004"/>
    <w:p w:rsidR="004D5004" w:rsidRDefault="004D5004" w:rsidP="004D5004"/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sectPr w:rsidR="001921AE" w:rsidRPr="001921AE" w:rsidSect="003A3196">
      <w:headerReference w:type="default" r:id="rId15"/>
      <w:footerReference w:type="default" r:id="rId1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4B" w:rsidRDefault="00EA784B" w:rsidP="00B05920">
      <w:r>
        <w:separator/>
      </w:r>
    </w:p>
  </w:endnote>
  <w:endnote w:type="continuationSeparator" w:id="0">
    <w:p w:rsidR="00EA784B" w:rsidRDefault="00EA784B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8A" w:rsidRDefault="008F608A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F608A" w:rsidRPr="00CF1716" w:rsidRDefault="008F608A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F608A" w:rsidRPr="00CF1716" w:rsidRDefault="008F608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F608A" w:rsidRPr="00CF1716" w:rsidRDefault="008F608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8F608A" w:rsidRPr="00CF1716" w:rsidRDefault="008F608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8F608A" w:rsidRDefault="008F6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4B" w:rsidRDefault="00EA784B" w:rsidP="00B05920">
      <w:r>
        <w:separator/>
      </w:r>
    </w:p>
  </w:footnote>
  <w:footnote w:type="continuationSeparator" w:id="0">
    <w:p w:rsidR="00EA784B" w:rsidRDefault="00EA784B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F608A" w:rsidTr="00AD5688">
      <w:trPr>
        <w:jc w:val="center"/>
      </w:trPr>
      <w:tc>
        <w:tcPr>
          <w:tcW w:w="1843" w:type="dxa"/>
        </w:tcPr>
        <w:p w:rsidR="008F608A" w:rsidRDefault="008F608A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F608A" w:rsidRDefault="008F608A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F608A" w:rsidRDefault="008F608A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F608A" w:rsidRDefault="008F608A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F608A" w:rsidRDefault="008F60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18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41"/>
  </w:num>
  <w:num w:numId="23">
    <w:abstractNumId w:val="15"/>
  </w:num>
  <w:num w:numId="24">
    <w:abstractNumId w:val="40"/>
  </w:num>
  <w:num w:numId="25">
    <w:abstractNumId w:val="7"/>
  </w:num>
  <w:num w:numId="26">
    <w:abstractNumId w:val="32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8"/>
  </w:num>
  <w:num w:numId="32">
    <w:abstractNumId w:val="36"/>
  </w:num>
  <w:num w:numId="33">
    <w:abstractNumId w:val="11"/>
  </w:num>
  <w:num w:numId="34">
    <w:abstractNumId w:val="27"/>
  </w:num>
  <w:num w:numId="35">
    <w:abstractNumId w:val="37"/>
  </w:num>
  <w:num w:numId="36">
    <w:abstractNumId w:val="33"/>
  </w:num>
  <w:num w:numId="37">
    <w:abstractNumId w:val="8"/>
  </w:num>
  <w:num w:numId="38">
    <w:abstractNumId w:val="4"/>
  </w:num>
  <w:num w:numId="39">
    <w:abstractNumId w:val="24"/>
  </w:num>
  <w:num w:numId="40">
    <w:abstractNumId w:val="3"/>
  </w:num>
  <w:num w:numId="41">
    <w:abstractNumId w:val="1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5A3F"/>
    <w:rsid w:val="0005035E"/>
    <w:rsid w:val="000547A3"/>
    <w:rsid w:val="00061945"/>
    <w:rsid w:val="00061CA7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66F7"/>
    <w:rsid w:val="000D7636"/>
    <w:rsid w:val="000E5FCA"/>
    <w:rsid w:val="000F6B42"/>
    <w:rsid w:val="00101C05"/>
    <w:rsid w:val="00102530"/>
    <w:rsid w:val="00104FDE"/>
    <w:rsid w:val="00112166"/>
    <w:rsid w:val="00123BEE"/>
    <w:rsid w:val="001331DD"/>
    <w:rsid w:val="00150E9D"/>
    <w:rsid w:val="001513A4"/>
    <w:rsid w:val="00151A8D"/>
    <w:rsid w:val="00153FDE"/>
    <w:rsid w:val="001551D6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203D8F"/>
    <w:rsid w:val="002057D7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5192"/>
    <w:rsid w:val="0026367A"/>
    <w:rsid w:val="0026662E"/>
    <w:rsid w:val="002754EF"/>
    <w:rsid w:val="00277CA6"/>
    <w:rsid w:val="00280E5E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D0D9C"/>
    <w:rsid w:val="004D5004"/>
    <w:rsid w:val="004D586B"/>
    <w:rsid w:val="004D59CB"/>
    <w:rsid w:val="004E2B65"/>
    <w:rsid w:val="004E621E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7A31"/>
    <w:rsid w:val="00650069"/>
    <w:rsid w:val="00662957"/>
    <w:rsid w:val="00664C6A"/>
    <w:rsid w:val="00666A2E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2359"/>
    <w:rsid w:val="00F96E51"/>
    <w:rsid w:val="00FB1BA0"/>
    <w:rsid w:val="00FB266F"/>
    <w:rsid w:val="00FB2676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uiPriority w:val="59"/>
    <w:rsid w:val="00957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99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yperlink" Target="http://www.an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8449-C46E-47F3-97BE-64CFA65D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50</Pages>
  <Words>15416</Words>
  <Characters>83249</Characters>
  <Application>Microsoft Office Word</Application>
  <DocSecurity>0</DocSecurity>
  <Lines>693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 Fenix</cp:lastModifiedBy>
  <cp:revision>50</cp:revision>
  <cp:lastPrinted>2020-09-16T14:23:00Z</cp:lastPrinted>
  <dcterms:created xsi:type="dcterms:W3CDTF">2020-07-17T13:44:00Z</dcterms:created>
  <dcterms:modified xsi:type="dcterms:W3CDTF">2024-01-12T18:15:00Z</dcterms:modified>
</cp:coreProperties>
</file>